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A2" w:rsidRPr="00FF2BA2" w:rsidRDefault="00670E48" w:rsidP="00FF2BA2">
      <w:pPr>
        <w:pStyle w:val="berschrift1"/>
        <w:numPr>
          <w:ilvl w:val="0"/>
          <w:numId w:val="0"/>
        </w:numPr>
        <w:spacing w:line="360" w:lineRule="auto"/>
        <w:jc w:val="center"/>
        <w:rPr>
          <w:sz w:val="28"/>
          <w:szCs w:val="28"/>
          <w:u w:val="single"/>
        </w:rPr>
      </w:pPr>
      <w:r>
        <w:rPr>
          <w:sz w:val="28"/>
          <w:szCs w:val="28"/>
          <w:u w:val="single"/>
        </w:rPr>
        <w:t xml:space="preserve">EC DG JRC </w:t>
      </w:r>
    </w:p>
    <w:p w:rsidR="00FF2BA2" w:rsidRPr="00FF2BA2" w:rsidRDefault="00ED2231" w:rsidP="00FF2BA2">
      <w:pPr>
        <w:jc w:val="center"/>
        <w:rPr>
          <w:rFonts w:cs="Arial"/>
          <w:b/>
          <w:bCs/>
          <w:kern w:val="32"/>
          <w:sz w:val="28"/>
          <w:szCs w:val="28"/>
        </w:rPr>
      </w:pPr>
      <w:r>
        <w:rPr>
          <w:rFonts w:cs="Arial"/>
          <w:b/>
          <w:bCs/>
          <w:kern w:val="32"/>
          <w:sz w:val="28"/>
          <w:szCs w:val="28"/>
        </w:rPr>
        <w:t>PROGRESS REPORT</w:t>
      </w:r>
      <w:r w:rsidR="00B05A98">
        <w:rPr>
          <w:rStyle w:val="Funotenzeichen"/>
          <w:rFonts w:cs="Arial"/>
          <w:b/>
          <w:bCs/>
          <w:kern w:val="32"/>
          <w:sz w:val="28"/>
          <w:szCs w:val="28"/>
        </w:rPr>
        <w:footnoteReference w:id="1"/>
      </w:r>
    </w:p>
    <w:p w:rsidR="00E3748C" w:rsidRDefault="00304E9E" w:rsidP="00FF2BA2">
      <w:pPr>
        <w:jc w:val="center"/>
        <w:rPr>
          <w:rFonts w:cs="Arial"/>
          <w:b/>
          <w:bCs/>
          <w:kern w:val="32"/>
          <w:sz w:val="28"/>
          <w:szCs w:val="28"/>
        </w:rPr>
      </w:pPr>
      <w:r w:rsidRPr="00FF2BA2">
        <w:rPr>
          <w:rFonts w:cs="Arial"/>
          <w:b/>
          <w:bCs/>
          <w:kern w:val="32"/>
          <w:sz w:val="28"/>
          <w:szCs w:val="28"/>
        </w:rPr>
        <w:t>on</w:t>
      </w:r>
      <w:r w:rsidR="00FF2BA2" w:rsidRPr="00FF2BA2">
        <w:rPr>
          <w:rFonts w:cs="Arial"/>
          <w:b/>
          <w:bCs/>
          <w:kern w:val="32"/>
          <w:sz w:val="28"/>
          <w:szCs w:val="28"/>
        </w:rPr>
        <w:t xml:space="preserve"> </w:t>
      </w:r>
      <w:r w:rsidRPr="00FF2BA2">
        <w:rPr>
          <w:rFonts w:cs="Arial"/>
          <w:b/>
          <w:bCs/>
          <w:kern w:val="32"/>
          <w:sz w:val="28"/>
          <w:szCs w:val="28"/>
        </w:rPr>
        <w:t xml:space="preserve">recent </w:t>
      </w:r>
      <w:r w:rsidR="00E3748C" w:rsidRPr="00FF2BA2">
        <w:rPr>
          <w:rFonts w:cs="Arial"/>
          <w:b/>
          <w:bCs/>
          <w:kern w:val="32"/>
          <w:sz w:val="28"/>
          <w:szCs w:val="28"/>
        </w:rPr>
        <w:t xml:space="preserve">developments </w:t>
      </w:r>
      <w:r w:rsidRPr="00FF2BA2">
        <w:rPr>
          <w:rFonts w:cs="Arial"/>
          <w:b/>
          <w:bCs/>
          <w:kern w:val="32"/>
          <w:sz w:val="28"/>
          <w:szCs w:val="28"/>
        </w:rPr>
        <w:t>regarding</w:t>
      </w:r>
      <w:r w:rsidR="00E3748C" w:rsidRPr="00FF2BA2">
        <w:rPr>
          <w:rFonts w:cs="Arial"/>
          <w:b/>
          <w:bCs/>
          <w:kern w:val="32"/>
          <w:sz w:val="28"/>
          <w:szCs w:val="28"/>
        </w:rPr>
        <w:t xml:space="preserve"> S&amp;T</w:t>
      </w:r>
      <w:r w:rsidRPr="00FF2BA2">
        <w:rPr>
          <w:rFonts w:cs="Arial"/>
          <w:b/>
          <w:bCs/>
          <w:kern w:val="32"/>
          <w:sz w:val="28"/>
          <w:szCs w:val="28"/>
        </w:rPr>
        <w:t xml:space="preserve"> cooperation </w:t>
      </w:r>
      <w:r w:rsidR="00E3748C" w:rsidRPr="00FF2BA2">
        <w:rPr>
          <w:rFonts w:cs="Arial"/>
          <w:b/>
          <w:bCs/>
          <w:kern w:val="32"/>
          <w:sz w:val="28"/>
          <w:szCs w:val="28"/>
        </w:rPr>
        <w:t>in</w:t>
      </w:r>
      <w:r w:rsidR="00ED2231">
        <w:rPr>
          <w:rFonts w:cs="Arial"/>
          <w:b/>
          <w:bCs/>
          <w:kern w:val="32"/>
          <w:sz w:val="28"/>
          <w:szCs w:val="28"/>
        </w:rPr>
        <w:t>/with</w:t>
      </w:r>
      <w:r w:rsidR="00E3748C" w:rsidRPr="00FF2BA2">
        <w:rPr>
          <w:rFonts w:cs="Arial"/>
          <w:b/>
          <w:bCs/>
          <w:kern w:val="32"/>
          <w:sz w:val="28"/>
          <w:szCs w:val="28"/>
        </w:rPr>
        <w:t xml:space="preserve"> </w:t>
      </w:r>
      <w:r w:rsidR="00ED2231">
        <w:rPr>
          <w:rFonts w:cs="Arial"/>
          <w:b/>
          <w:bCs/>
          <w:kern w:val="32"/>
          <w:sz w:val="28"/>
          <w:szCs w:val="28"/>
        </w:rPr>
        <w:t xml:space="preserve">the </w:t>
      </w:r>
      <w:r w:rsidR="00E3748C" w:rsidRPr="00FF2BA2">
        <w:rPr>
          <w:rFonts w:cs="Arial"/>
          <w:b/>
          <w:bCs/>
          <w:kern w:val="32"/>
          <w:sz w:val="28"/>
          <w:szCs w:val="28"/>
        </w:rPr>
        <w:t>WBC</w:t>
      </w:r>
    </w:p>
    <w:p w:rsidR="00517653" w:rsidRDefault="00517653" w:rsidP="00FF2BA2">
      <w:pPr>
        <w:jc w:val="center"/>
        <w:rPr>
          <w:rFonts w:cs="Arial"/>
          <w:b/>
          <w:bCs/>
          <w:kern w:val="32"/>
          <w:sz w:val="28"/>
          <w:szCs w:val="28"/>
        </w:rPr>
      </w:pPr>
      <w:r>
        <w:rPr>
          <w:rFonts w:cs="Arial"/>
          <w:b/>
          <w:bCs/>
          <w:kern w:val="32"/>
          <w:sz w:val="28"/>
          <w:szCs w:val="28"/>
        </w:rPr>
        <w:t>(Budapest, June 8-9, 2015)</w:t>
      </w:r>
    </w:p>
    <w:p w:rsidR="00ED2231" w:rsidRDefault="00ED2231" w:rsidP="0029584D">
      <w:pPr>
        <w:rPr>
          <w:i/>
        </w:rPr>
      </w:pPr>
    </w:p>
    <w:p w:rsidR="00BC493A" w:rsidRDefault="00BC493A" w:rsidP="00BC493A">
      <w:pPr>
        <w:pStyle w:val="berschrift1"/>
        <w:rPr>
          <w:sz w:val="24"/>
          <w:szCs w:val="24"/>
        </w:rPr>
      </w:pPr>
      <w:r w:rsidRPr="00BC493A">
        <w:rPr>
          <w:sz w:val="24"/>
          <w:szCs w:val="24"/>
        </w:rPr>
        <w:t>Policy actions</w:t>
      </w:r>
      <w:bookmarkStart w:id="0" w:name="_Toc206914416"/>
    </w:p>
    <w:bookmarkEnd w:id="0"/>
    <w:p w:rsidR="00E56122" w:rsidRPr="00575FFB" w:rsidRDefault="00517653" w:rsidP="00BC493A">
      <w:pPr>
        <w:ind w:left="432"/>
      </w:pPr>
      <w:r>
        <w:t>N/A</w:t>
      </w:r>
    </w:p>
    <w:p w:rsidR="00BC493A" w:rsidRDefault="00BC493A" w:rsidP="004169BE">
      <w:pPr>
        <w:pStyle w:val="berschrift1"/>
        <w:rPr>
          <w:sz w:val="24"/>
          <w:szCs w:val="24"/>
        </w:rPr>
      </w:pPr>
      <w:bookmarkStart w:id="1" w:name="_Toc206914419"/>
      <w:r>
        <w:rPr>
          <w:sz w:val="24"/>
          <w:szCs w:val="24"/>
        </w:rPr>
        <w:t>Legislative initiatives</w:t>
      </w:r>
      <w:r w:rsidR="00714238" w:rsidRPr="0069242A">
        <w:rPr>
          <w:sz w:val="24"/>
          <w:szCs w:val="24"/>
        </w:rPr>
        <w:t xml:space="preserve"> - development of the legal and strategic framework</w:t>
      </w:r>
    </w:p>
    <w:bookmarkEnd w:id="1"/>
    <w:p w:rsidR="00E56122" w:rsidRPr="00575FFB" w:rsidRDefault="00517653" w:rsidP="00BC493A">
      <w:pPr>
        <w:ind w:left="432"/>
      </w:pPr>
      <w:r>
        <w:t>N/A</w:t>
      </w:r>
    </w:p>
    <w:p w:rsidR="004169BE" w:rsidRPr="00FF2BA2" w:rsidRDefault="00C17D44" w:rsidP="004169BE">
      <w:pPr>
        <w:pStyle w:val="berschrift1"/>
        <w:rPr>
          <w:sz w:val="24"/>
          <w:szCs w:val="24"/>
        </w:rPr>
      </w:pPr>
      <w:bookmarkStart w:id="2" w:name="_Toc206914422"/>
      <w:r>
        <w:rPr>
          <w:sz w:val="24"/>
          <w:szCs w:val="24"/>
        </w:rPr>
        <w:t>Important e</w:t>
      </w:r>
      <w:r w:rsidR="00714238">
        <w:rPr>
          <w:sz w:val="24"/>
          <w:szCs w:val="24"/>
        </w:rPr>
        <w:t xml:space="preserve">vents, </w:t>
      </w:r>
      <w:r w:rsidR="005C08CE">
        <w:rPr>
          <w:sz w:val="24"/>
          <w:szCs w:val="24"/>
        </w:rPr>
        <w:t>meetings, training</w:t>
      </w:r>
      <w:r>
        <w:rPr>
          <w:sz w:val="24"/>
          <w:szCs w:val="24"/>
        </w:rPr>
        <w:t xml:space="preserve"> activities</w:t>
      </w:r>
      <w:r w:rsidR="00714238">
        <w:rPr>
          <w:sz w:val="24"/>
          <w:szCs w:val="24"/>
        </w:rPr>
        <w:t>, etc.</w:t>
      </w:r>
      <w:bookmarkEnd w:id="2"/>
    </w:p>
    <w:p w:rsidR="00026388" w:rsidRPr="00026388" w:rsidRDefault="00026388" w:rsidP="00026388">
      <w:pPr>
        <w:pStyle w:val="berschrift1"/>
        <w:numPr>
          <w:ilvl w:val="0"/>
          <w:numId w:val="0"/>
        </w:numPr>
        <w:ind w:left="432"/>
        <w:rPr>
          <w:sz w:val="24"/>
          <w:szCs w:val="24"/>
        </w:rPr>
      </w:pPr>
      <w:r w:rsidRPr="00026388">
        <w:rPr>
          <w:sz w:val="24"/>
          <w:szCs w:val="24"/>
        </w:rPr>
        <w:t>3.1 Enlargement and Integration Action 2014</w:t>
      </w:r>
    </w:p>
    <w:p w:rsidR="006F59E5" w:rsidRDefault="006F59E5" w:rsidP="006F59E5">
      <w:pPr>
        <w:jc w:val="both"/>
        <w:rPr>
          <w:bCs/>
        </w:rPr>
      </w:pPr>
      <w:r w:rsidRPr="002B5309">
        <w:rPr>
          <w:bCs/>
        </w:rPr>
        <w:t xml:space="preserve">Within its Enlargement and Integration Action the JRC organised in 2014 more than forty workshops, advanced trainings, summer schools and visits for the representatives of the Enlargement and the Neighbourhood Policy countries. </w:t>
      </w:r>
      <w:r>
        <w:rPr>
          <w:bCs/>
        </w:rPr>
        <w:t>Below the list of all the activities organised in 2014</w:t>
      </w:r>
      <w:r w:rsidR="00517653">
        <w:rPr>
          <w:bCs/>
        </w:rPr>
        <w:t>:</w:t>
      </w:r>
      <w:r w:rsidRPr="002B5309">
        <w:rPr>
          <w:bCs/>
        </w:rPr>
        <w:t xml:space="preserve">  </w:t>
      </w:r>
    </w:p>
    <w:p w:rsidR="006F59E5" w:rsidRDefault="006F59E5" w:rsidP="006F59E5">
      <w:pPr>
        <w:jc w:val="both"/>
        <w:rPr>
          <w:bCs/>
        </w:rPr>
      </w:pPr>
    </w:p>
    <w:p w:rsidR="006F59E5" w:rsidRPr="006F59E5" w:rsidRDefault="006F59E5" w:rsidP="006F59E5">
      <w:pPr>
        <w:spacing w:after="240"/>
        <w:jc w:val="both"/>
        <w:rPr>
          <w:rFonts w:ascii="Calibri" w:hAnsi="Calibri" w:cs="Calibri"/>
          <w:b/>
          <w:sz w:val="24"/>
        </w:rPr>
      </w:pPr>
      <w:r w:rsidRPr="006F59E5">
        <w:rPr>
          <w:rFonts w:ascii="Calibri" w:hAnsi="Calibri" w:cs="Calibri"/>
          <w:b/>
          <w:sz w:val="24"/>
        </w:rPr>
        <w:t>List of the workshop, trainings and summers schools organised in 2014.</w:t>
      </w:r>
    </w:p>
    <w:tbl>
      <w:tblPr>
        <w:tblW w:w="9960" w:type="dxa"/>
        <w:tblInd w:w="93" w:type="dxa"/>
        <w:tblLook w:val="04A0" w:firstRow="1" w:lastRow="0" w:firstColumn="1" w:lastColumn="0" w:noHBand="0" w:noVBand="1"/>
      </w:tblPr>
      <w:tblGrid>
        <w:gridCol w:w="680"/>
        <w:gridCol w:w="1320"/>
        <w:gridCol w:w="6420"/>
        <w:gridCol w:w="1540"/>
      </w:tblGrid>
      <w:tr w:rsidR="006F59E5" w:rsidRPr="00DC38A0" w:rsidTr="0066037C">
        <w:trPr>
          <w:trHeight w:val="57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Training</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Danube Innovation Nexus –Summer School</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Belgrade</w:t>
            </w:r>
          </w:p>
        </w:tc>
      </w:tr>
      <w:tr w:rsidR="006F59E5" w:rsidRPr="00DC38A0" w:rsidTr="0066037C">
        <w:trPr>
          <w:trHeight w:val="58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w:t>
            </w:r>
          </w:p>
        </w:tc>
        <w:tc>
          <w:tcPr>
            <w:tcW w:w="132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Danube Innovation Nexus – Workshops</w:t>
            </w:r>
          </w:p>
        </w:tc>
        <w:tc>
          <w:tcPr>
            <w:tcW w:w="154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Vienna</w:t>
            </w:r>
          </w:p>
        </w:tc>
      </w:tr>
      <w:tr w:rsidR="006F59E5" w:rsidRPr="00DC38A0" w:rsidTr="0066037C">
        <w:trPr>
          <w:trHeight w:val="507"/>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Enlarging the European Alien Species Information Network</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67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4</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Managing Nitrogen and Phosphorus  loads to water bodies: characterization and solutions</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765"/>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5</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From polluting human activities to emission grid maps using the Emission Database for Global Atmospheric Research (EDGAR)</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6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6</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20th Annual GeoCAP Conference</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Dresden</w:t>
            </w:r>
          </w:p>
        </w:tc>
      </w:tr>
      <w:tr w:rsidR="006F59E5" w:rsidRPr="00DC38A0" w:rsidTr="0066037C">
        <w:trPr>
          <w:trHeight w:val="555"/>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7</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Kick-off of Development and Control Methods Campaign 2014</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Varese</w:t>
            </w:r>
          </w:p>
        </w:tc>
      </w:tr>
      <w:tr w:rsidR="006F59E5" w:rsidRPr="00DC38A0" w:rsidTr="0066037C">
        <w:trPr>
          <w:trHeight w:val="49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lastRenderedPageBreak/>
              <w:t>8</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LPIS workshop 2014</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Brussels</w:t>
            </w:r>
          </w:p>
        </w:tc>
      </w:tr>
      <w:tr w:rsidR="006F59E5" w:rsidRPr="00DC38A0" w:rsidTr="0066037C">
        <w:trPr>
          <w:trHeight w:val="48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9</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EUROMED Crop Monitoring Workshop 2014</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Rabat</w:t>
            </w:r>
          </w:p>
        </w:tc>
      </w:tr>
      <w:tr w:rsidR="006F59E5" w:rsidRPr="00DC38A0" w:rsidTr="0066037C">
        <w:trPr>
          <w:trHeight w:val="6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10</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High-resolution Soil Database for the Danube Basin</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630"/>
        </w:trPr>
        <w:tc>
          <w:tcPr>
            <w:tcW w:w="680" w:type="dxa"/>
            <w:tcBorders>
              <w:top w:val="single" w:sz="4" w:space="0" w:color="auto"/>
              <w:left w:val="single" w:sz="4" w:space="0" w:color="auto"/>
              <w:bottom w:val="nil"/>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11</w:t>
            </w:r>
          </w:p>
        </w:tc>
        <w:tc>
          <w:tcPr>
            <w:tcW w:w="1320" w:type="dxa"/>
            <w:tcBorders>
              <w:top w:val="single" w:sz="4" w:space="0" w:color="auto"/>
              <w:left w:val="single" w:sz="4" w:space="0" w:color="auto"/>
              <w:bottom w:val="nil"/>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nil"/>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Pr>
                <w:rFonts w:cs="Calibri"/>
                <w:color w:val="000000"/>
                <w:sz w:val="20"/>
                <w:szCs w:val="20"/>
                <w:lang w:eastAsia="en-GB"/>
              </w:rPr>
              <w:t>Open Data and Spatial Data Infrastructures in Central and Eastern Europe</w:t>
            </w:r>
          </w:p>
        </w:tc>
        <w:tc>
          <w:tcPr>
            <w:tcW w:w="1540" w:type="dxa"/>
            <w:tcBorders>
              <w:top w:val="single" w:sz="4" w:space="0" w:color="auto"/>
              <w:left w:val="single" w:sz="4" w:space="0" w:color="auto"/>
              <w:bottom w:val="nil"/>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Belgrade</w:t>
            </w:r>
          </w:p>
        </w:tc>
      </w:tr>
      <w:tr w:rsidR="006F59E5" w:rsidRPr="00DC38A0" w:rsidTr="0066037C">
        <w:trPr>
          <w:trHeight w:val="630"/>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12</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INSPIRE Implementation in the Danube Region</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Zagreb</w:t>
            </w:r>
          </w:p>
        </w:tc>
      </w:tr>
      <w:tr w:rsidR="006F59E5" w:rsidRPr="00DC38A0" w:rsidTr="0066037C">
        <w:trPr>
          <w:trHeight w:val="495"/>
        </w:trPr>
        <w:tc>
          <w:tcPr>
            <w:tcW w:w="680" w:type="dxa"/>
            <w:tcBorders>
              <w:top w:val="nil"/>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13</w:t>
            </w:r>
          </w:p>
        </w:tc>
        <w:tc>
          <w:tcPr>
            <w:tcW w:w="1320" w:type="dxa"/>
            <w:tcBorders>
              <w:top w:val="nil"/>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Extra</w:t>
            </w:r>
          </w:p>
        </w:tc>
        <w:tc>
          <w:tcPr>
            <w:tcW w:w="6420" w:type="dxa"/>
            <w:tcBorders>
              <w:top w:val="nil"/>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Ukrainian Study Visit on INSPIRE</w:t>
            </w:r>
          </w:p>
        </w:tc>
        <w:tc>
          <w:tcPr>
            <w:tcW w:w="1540" w:type="dxa"/>
            <w:tcBorders>
              <w:top w:val="nil"/>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540"/>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14</w:t>
            </w:r>
          </w:p>
        </w:tc>
        <w:tc>
          <w:tcPr>
            <w:tcW w:w="132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Extra</w:t>
            </w:r>
          </w:p>
        </w:tc>
        <w:tc>
          <w:tcPr>
            <w:tcW w:w="642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Spatial Data Harmonisation workshop</w:t>
            </w:r>
          </w:p>
        </w:tc>
        <w:tc>
          <w:tcPr>
            <w:tcW w:w="154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60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15</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Innovative Multimedia Tools for Education and Training in the EU</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Sarajevo</w:t>
            </w:r>
          </w:p>
        </w:tc>
      </w:tr>
      <w:tr w:rsidR="006F59E5" w:rsidRPr="00DC38A0" w:rsidTr="0066037C">
        <w:trPr>
          <w:trHeight w:val="496"/>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16</w:t>
            </w:r>
          </w:p>
        </w:tc>
        <w:tc>
          <w:tcPr>
            <w:tcW w:w="132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Workshop on "Energy Efficiency Policies, ESCO's and Financing"</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Varese</w:t>
            </w:r>
          </w:p>
        </w:tc>
      </w:tr>
      <w:tr w:rsidR="006F59E5" w:rsidRPr="00DC38A0" w:rsidTr="0066037C">
        <w:trPr>
          <w:trHeight w:val="56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17</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Harmonization and standardization of experimental and numerical tools for the characterization of materials and components</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Istanbul</w:t>
            </w:r>
          </w:p>
        </w:tc>
      </w:tr>
      <w:tr w:rsidR="006F59E5" w:rsidRPr="00DC38A0" w:rsidTr="0066037C">
        <w:trPr>
          <w:trHeight w:val="76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18</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Pr>
                <w:rFonts w:cs="Calibri"/>
                <w:color w:val="000000"/>
                <w:sz w:val="20"/>
                <w:szCs w:val="20"/>
                <w:lang w:eastAsia="en-GB"/>
              </w:rPr>
              <w:t>Physics based</w:t>
            </w:r>
            <w:r w:rsidRPr="00DC38A0">
              <w:rPr>
                <w:rFonts w:cs="Calibri"/>
                <w:color w:val="000000"/>
                <w:sz w:val="20"/>
                <w:szCs w:val="20"/>
                <w:lang w:eastAsia="en-GB"/>
              </w:rPr>
              <w:t xml:space="preserve"> modelling of material properties</w:t>
            </w:r>
            <w:r>
              <w:rPr>
                <w:rFonts w:cs="Calibri"/>
                <w:color w:val="000000"/>
                <w:sz w:val="20"/>
                <w:szCs w:val="20"/>
                <w:lang w:eastAsia="en-GB"/>
              </w:rPr>
              <w:t xml:space="preserve"> and experimental observations. </w:t>
            </w:r>
            <w:r w:rsidRPr="00DC38A0">
              <w:rPr>
                <w:rFonts w:cs="Calibri"/>
                <w:color w:val="000000"/>
                <w:sz w:val="20"/>
                <w:szCs w:val="20"/>
                <w:lang w:eastAsia="en-GB"/>
              </w:rPr>
              <w:t>Special Focus - Plasticity and creep at different length scales</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Cesme - Turkey</w:t>
            </w:r>
          </w:p>
        </w:tc>
      </w:tr>
      <w:tr w:rsidR="006F59E5" w:rsidRPr="00DC38A0" w:rsidTr="0066037C">
        <w:trPr>
          <w:trHeight w:val="63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19</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Workshop on bioenergy in Ukraine</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Kiev</w:t>
            </w:r>
          </w:p>
        </w:tc>
      </w:tr>
      <w:tr w:rsidR="006F59E5" w:rsidRPr="00DC38A0" w:rsidTr="0066037C">
        <w:trPr>
          <w:trHeight w:val="66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20</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"Costs, benefits and impact assessment of smart grids for Europe and beyond"</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Antalya</w:t>
            </w:r>
          </w:p>
        </w:tc>
      </w:tr>
      <w:tr w:rsidR="006F59E5" w:rsidRPr="00DC38A0" w:rsidTr="0066037C">
        <w:trPr>
          <w:trHeight w:val="765"/>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21</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Training</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Training on methods for the implementation of the EC Regulation 994/2010 on Security of Gas Supply</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Athens</w:t>
            </w:r>
          </w:p>
        </w:tc>
      </w:tr>
      <w:tr w:rsidR="006F59E5" w:rsidRPr="00DC38A0" w:rsidTr="0066037C">
        <w:trPr>
          <w:trHeight w:val="585"/>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22</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The Future Role of Energy Storage in South Eastern Europe</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Tirana</w:t>
            </w:r>
          </w:p>
        </w:tc>
      </w:tr>
      <w:tr w:rsidR="006F59E5" w:rsidRPr="00DC38A0" w:rsidTr="0066037C">
        <w:trPr>
          <w:trHeight w:val="676"/>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23</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Training</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Safety of food contact materials: migration testing and exposure assessment of chemicals in food</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81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24</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Training</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Monitoring and evaluating the health risks from  air pollution in buildings including emissions from building materials and consumer products</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645"/>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25</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The ageing European consumer – how to prepare?</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Orasac</w:t>
            </w:r>
          </w:p>
        </w:tc>
      </w:tr>
      <w:tr w:rsidR="006F59E5" w:rsidRPr="00DC38A0" w:rsidTr="0066037C">
        <w:trPr>
          <w:trHeight w:val="75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26</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International Workshop on Harmonisation of GMO Detection and Analysis</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Skopje</w:t>
            </w:r>
          </w:p>
        </w:tc>
      </w:tr>
      <w:tr w:rsidR="006F59E5" w:rsidRPr="00DC38A0" w:rsidTr="0066037C">
        <w:trPr>
          <w:trHeight w:val="585"/>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27</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Nanotechnology based sensors and detection methods</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73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28</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Workshop on health and safety research with radiotracers and radiolabelled nanoparticles</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Ispra</w:t>
            </w:r>
          </w:p>
        </w:tc>
      </w:tr>
      <w:tr w:rsidR="006F59E5" w:rsidRPr="00DC38A0" w:rsidTr="0066037C">
        <w:trPr>
          <w:trHeight w:val="63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lastRenderedPageBreak/>
              <w:t>29</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Training</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Implementation and Use of the Eurocodes in the Candidate and Potential Countries of the EU in the Balkan region</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Skopje</w:t>
            </w:r>
          </w:p>
        </w:tc>
      </w:tr>
      <w:tr w:rsidR="006F59E5" w:rsidRPr="00DC38A0" w:rsidTr="0066037C">
        <w:trPr>
          <w:trHeight w:val="52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30</w:t>
            </w:r>
          </w:p>
        </w:tc>
        <w:tc>
          <w:tcPr>
            <w:tcW w:w="132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International Conference on Robust Statistics (ICORS) 2014</w:t>
            </w:r>
          </w:p>
        </w:tc>
        <w:tc>
          <w:tcPr>
            <w:tcW w:w="1540" w:type="dxa"/>
            <w:tcBorders>
              <w:top w:val="nil"/>
              <w:left w:val="nil"/>
              <w:bottom w:val="single" w:sz="4" w:space="0" w:color="auto"/>
              <w:right w:val="single" w:sz="4" w:space="0" w:color="auto"/>
            </w:tcBorders>
            <w:shd w:val="clear" w:color="auto" w:fill="auto"/>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Halle</w:t>
            </w:r>
          </w:p>
        </w:tc>
      </w:tr>
      <w:tr w:rsidR="006F59E5" w:rsidRPr="00DC38A0" w:rsidTr="0066037C">
        <w:trPr>
          <w:trHeight w:val="53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31</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Workshop on Agricultural Trade and Food Security in the Euro-Med Area</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Antalya</w:t>
            </w:r>
          </w:p>
        </w:tc>
      </w:tr>
      <w:tr w:rsidR="006F59E5" w:rsidRPr="00DC38A0" w:rsidTr="0066037C">
        <w:trPr>
          <w:trHeight w:val="60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32</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Implementing the technical requirements of ISO/IEC 17025 in the laboratory</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Ariana Tunisia</w:t>
            </w:r>
          </w:p>
        </w:tc>
      </w:tr>
      <w:tr w:rsidR="006F59E5" w:rsidRPr="00DC38A0" w:rsidTr="0066037C">
        <w:trPr>
          <w:trHeight w:val="63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33</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Training</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Laboratory course on radiochemical separations for practitioners</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Ljubljana</w:t>
            </w:r>
          </w:p>
        </w:tc>
      </w:tr>
      <w:tr w:rsidR="006F59E5" w:rsidRPr="00DC38A0" w:rsidTr="0066037C">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34</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Theory-3</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Opatja</w:t>
            </w:r>
          </w:p>
        </w:tc>
      </w:tr>
      <w:tr w:rsidR="006F59E5" w:rsidRPr="00DC38A0" w:rsidTr="0066037C">
        <w:trPr>
          <w:trHeight w:val="87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35</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Analysis of food and feed contaminants. The legal and scientific framework behind, including methosd validation and measurement uncertainty</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Zagreb</w:t>
            </w:r>
          </w:p>
        </w:tc>
      </w:tr>
      <w:tr w:rsidR="006F59E5" w:rsidRPr="00DC38A0" w:rsidTr="0066037C">
        <w:trPr>
          <w:trHeight w:val="57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36</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GEODISPOSAL 2014</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Manchester</w:t>
            </w:r>
          </w:p>
        </w:tc>
      </w:tr>
      <w:tr w:rsidR="006F59E5" w:rsidRPr="00DC38A0" w:rsidTr="0066037C">
        <w:trPr>
          <w:trHeight w:val="63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37</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10th School on the Physics and Chemistry of the Actinides (SPCA)</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Kibbuz Ein Gedi</w:t>
            </w:r>
          </w:p>
        </w:tc>
      </w:tr>
      <w:tr w:rsidR="006F59E5" w:rsidRPr="00DC38A0" w:rsidTr="0066037C">
        <w:trPr>
          <w:trHeight w:val="495"/>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38</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Training</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Training on core capabilities in nuclear forensics</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Karlsruhe</w:t>
            </w:r>
          </w:p>
        </w:tc>
      </w:tr>
      <w:tr w:rsidR="006F59E5" w:rsidRPr="00DC38A0" w:rsidTr="0066037C">
        <w:trPr>
          <w:trHeight w:val="638"/>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39</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Workshop on advanced nuclear forensic analytical and interpretational methodologies - PART A</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Soreq</w:t>
            </w:r>
          </w:p>
        </w:tc>
      </w:tr>
      <w:tr w:rsidR="006F59E5" w:rsidRPr="00DC38A0" w:rsidTr="0066037C">
        <w:trPr>
          <w:trHeight w:val="510"/>
        </w:trPr>
        <w:tc>
          <w:tcPr>
            <w:tcW w:w="680" w:type="dxa"/>
            <w:tcBorders>
              <w:top w:val="nil"/>
              <w:left w:val="single" w:sz="4" w:space="0" w:color="auto"/>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40</w:t>
            </w:r>
          </w:p>
        </w:tc>
        <w:tc>
          <w:tcPr>
            <w:tcW w:w="13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Workshop</w:t>
            </w:r>
          </w:p>
        </w:tc>
        <w:tc>
          <w:tcPr>
            <w:tcW w:w="642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Workshop on advanced nuclear forensic analytical and interpretational methodologies - PART B</w:t>
            </w:r>
          </w:p>
        </w:tc>
        <w:tc>
          <w:tcPr>
            <w:tcW w:w="1540" w:type="dxa"/>
            <w:tcBorders>
              <w:top w:val="nil"/>
              <w:left w:val="nil"/>
              <w:bottom w:val="single" w:sz="4" w:space="0" w:color="auto"/>
              <w:right w:val="single" w:sz="4" w:space="0" w:color="auto"/>
            </w:tcBorders>
            <w:shd w:val="clear" w:color="000000" w:fill="FFFFFF"/>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Karlsruhe</w:t>
            </w:r>
          </w:p>
        </w:tc>
      </w:tr>
      <w:tr w:rsidR="006F59E5" w:rsidRPr="00DC38A0" w:rsidTr="0066037C">
        <w:trPr>
          <w:trHeight w:val="660"/>
        </w:trPr>
        <w:tc>
          <w:tcPr>
            <w:tcW w:w="6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41</w:t>
            </w:r>
          </w:p>
        </w:tc>
        <w:tc>
          <w:tcPr>
            <w:tcW w:w="13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Training</w:t>
            </w:r>
          </w:p>
        </w:tc>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both"/>
              <w:rPr>
                <w:rFonts w:cs="Calibri"/>
                <w:color w:val="000000"/>
                <w:sz w:val="20"/>
                <w:szCs w:val="20"/>
                <w:lang w:eastAsia="en-GB"/>
              </w:rPr>
            </w:pPr>
            <w:r w:rsidRPr="00DC38A0">
              <w:rPr>
                <w:rFonts w:cs="Calibri"/>
                <w:color w:val="000000"/>
                <w:sz w:val="20"/>
                <w:szCs w:val="20"/>
                <w:lang w:eastAsia="en-GB"/>
              </w:rPr>
              <w:t>Train the trainers, course on Radiation Detection Techniques</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F59E5" w:rsidRPr="00DC38A0" w:rsidRDefault="006F59E5" w:rsidP="0066037C">
            <w:pPr>
              <w:spacing w:after="0"/>
              <w:jc w:val="center"/>
              <w:rPr>
                <w:rFonts w:cs="Calibri"/>
                <w:color w:val="000000"/>
                <w:sz w:val="20"/>
                <w:szCs w:val="20"/>
                <w:lang w:eastAsia="en-GB"/>
              </w:rPr>
            </w:pPr>
            <w:r w:rsidRPr="00DC38A0">
              <w:rPr>
                <w:rFonts w:cs="Calibri"/>
                <w:color w:val="000000"/>
                <w:sz w:val="20"/>
                <w:szCs w:val="20"/>
                <w:lang w:eastAsia="en-GB"/>
              </w:rPr>
              <w:t>Karlsruhe</w:t>
            </w:r>
          </w:p>
        </w:tc>
      </w:tr>
    </w:tbl>
    <w:p w:rsidR="00026388" w:rsidRPr="006F59E5" w:rsidRDefault="00026388" w:rsidP="00026388"/>
    <w:p w:rsidR="00E56122" w:rsidRPr="00026388" w:rsidRDefault="00026388" w:rsidP="00026388">
      <w:pPr>
        <w:pStyle w:val="berschrift1"/>
        <w:numPr>
          <w:ilvl w:val="0"/>
          <w:numId w:val="0"/>
        </w:numPr>
        <w:ind w:left="432"/>
        <w:rPr>
          <w:sz w:val="24"/>
          <w:szCs w:val="24"/>
        </w:rPr>
      </w:pPr>
      <w:r w:rsidRPr="00026388">
        <w:rPr>
          <w:sz w:val="24"/>
          <w:szCs w:val="24"/>
        </w:rPr>
        <w:t>3.2 IPA Travel Accommodation and Conference facility 2014</w:t>
      </w:r>
    </w:p>
    <w:p w:rsidR="00026388" w:rsidRPr="00762294" w:rsidRDefault="00026388" w:rsidP="00026388">
      <w:pPr>
        <w:rPr>
          <w:rFonts w:cs="Arial"/>
          <w:szCs w:val="22"/>
        </w:rPr>
      </w:pPr>
      <w:r w:rsidRPr="00762294">
        <w:rPr>
          <w:rFonts w:cs="Arial"/>
          <w:szCs w:val="22"/>
        </w:rPr>
        <w:t>Within the Travel Accommodation and Conference facility (TAC) for Western Balkans and Turkey JRC organized from September 2014 the following activities:</w:t>
      </w:r>
    </w:p>
    <w:p w:rsidR="00026388" w:rsidRPr="00026388" w:rsidRDefault="00026388" w:rsidP="00026388">
      <w:pPr>
        <w:rPr>
          <w:rFonts w:cs="Arial"/>
          <w:sz w:val="24"/>
        </w:rPr>
      </w:pPr>
    </w:p>
    <w:p w:rsidR="00026388" w:rsidRPr="00026388" w:rsidRDefault="00026388" w:rsidP="00026388">
      <w:pPr>
        <w:pStyle w:val="Text1"/>
        <w:spacing w:before="120" w:after="0"/>
        <w:ind w:left="0"/>
        <w:rPr>
          <w:rFonts w:ascii="Arial" w:hAnsi="Arial" w:cs="Arial"/>
          <w:b/>
          <w:i/>
          <w:szCs w:val="24"/>
        </w:rPr>
      </w:pPr>
      <w:r w:rsidRPr="00026388">
        <w:rPr>
          <w:rFonts w:ascii="Arial" w:hAnsi="Arial" w:cs="Arial"/>
          <w:b/>
          <w:i/>
          <w:szCs w:val="24"/>
        </w:rPr>
        <w:t>10th Anniversary of the European Reference Laboratory for Feed Additives (EURL-FA) – IRMM – Geel – 14.11.2014</w:t>
      </w:r>
    </w:p>
    <w:p w:rsidR="00026388" w:rsidRPr="00762294" w:rsidRDefault="00026388" w:rsidP="00026388">
      <w:pPr>
        <w:pStyle w:val="Text1"/>
        <w:spacing w:before="120" w:after="0"/>
        <w:ind w:left="0"/>
        <w:rPr>
          <w:rFonts w:ascii="Arial" w:hAnsi="Arial" w:cs="Arial"/>
          <w:sz w:val="22"/>
          <w:szCs w:val="22"/>
        </w:rPr>
      </w:pPr>
      <w:r w:rsidRPr="00762294">
        <w:rPr>
          <w:rFonts w:ascii="Arial" w:hAnsi="Arial" w:cs="Arial"/>
          <w:sz w:val="22"/>
          <w:szCs w:val="22"/>
        </w:rPr>
        <w:t>In 2004 the newly established European Union Reference Laboratory for Feed Additives (EURL-FA) which is supported by a network of National Reference Laboratories (NRLs) went into operation in order to perform the evaluation of the compliance of feed additives with legal conditions. Moreover, the EURL-FA conducted proficiency testing (PTs) of Member States expert laboratories for the analysis of specific feed additives. Since then the EURL-FA/NRL network successfully evaluated analytical methods related to more than 350 dossiers and has organised three PTs.</w:t>
      </w:r>
    </w:p>
    <w:p w:rsidR="00026388" w:rsidRPr="00762294" w:rsidRDefault="00026388" w:rsidP="00026388">
      <w:pPr>
        <w:pStyle w:val="Text1"/>
        <w:spacing w:before="120" w:after="0"/>
        <w:ind w:left="0"/>
        <w:rPr>
          <w:rFonts w:ascii="Arial" w:hAnsi="Arial" w:cs="Arial"/>
          <w:sz w:val="22"/>
          <w:szCs w:val="22"/>
        </w:rPr>
      </w:pPr>
      <w:r w:rsidRPr="00762294">
        <w:rPr>
          <w:rFonts w:ascii="Arial" w:hAnsi="Arial" w:cs="Arial"/>
          <w:sz w:val="22"/>
          <w:szCs w:val="22"/>
        </w:rPr>
        <w:t xml:space="preserve">On November 14, 2014 the EURL-FA celebrated its 10th anniversary with colleagues from DG Health and Consumers of the European Commission, the European Food Safety Authority, the NRLs and industry representatives. A review of the activities during the last 10 years has been presented; feedback from all main stakeholders has been given as well. Lastly, the event has given </w:t>
      </w:r>
      <w:r w:rsidRPr="00762294">
        <w:rPr>
          <w:rFonts w:ascii="Arial" w:hAnsi="Arial" w:cs="Arial"/>
          <w:sz w:val="22"/>
          <w:szCs w:val="22"/>
        </w:rPr>
        <w:lastRenderedPageBreak/>
        <w:t>the opportunity to exchange views and expectations on the activities of the EURL-FA in future, from a policy support perspective.</w:t>
      </w:r>
      <w:r w:rsidR="006F59E5">
        <w:rPr>
          <w:rFonts w:ascii="Arial" w:hAnsi="Arial" w:cs="Arial"/>
          <w:sz w:val="22"/>
          <w:szCs w:val="22"/>
        </w:rPr>
        <w:t xml:space="preserve"> </w:t>
      </w:r>
      <w:r w:rsidRPr="00762294">
        <w:rPr>
          <w:rFonts w:ascii="Arial" w:hAnsi="Arial" w:cs="Arial"/>
          <w:sz w:val="22"/>
          <w:szCs w:val="22"/>
        </w:rPr>
        <w:t>A delegation of 10 representatives from AL, BA, ME, MK, RS and KO took part to the event.</w:t>
      </w:r>
    </w:p>
    <w:p w:rsidR="00026388" w:rsidRPr="00026388" w:rsidRDefault="00026388" w:rsidP="00026388">
      <w:pPr>
        <w:pStyle w:val="Text1"/>
        <w:spacing w:before="120" w:after="0"/>
        <w:ind w:left="0"/>
        <w:rPr>
          <w:rFonts w:ascii="Arial" w:hAnsi="Arial" w:cs="Arial"/>
          <w:szCs w:val="24"/>
        </w:rPr>
      </w:pPr>
    </w:p>
    <w:p w:rsidR="00026388" w:rsidRPr="00026388" w:rsidRDefault="00026388" w:rsidP="00026388">
      <w:pPr>
        <w:pStyle w:val="Text1"/>
        <w:spacing w:before="120" w:after="0"/>
        <w:ind w:left="0"/>
        <w:rPr>
          <w:rFonts w:ascii="Arial" w:hAnsi="Arial" w:cs="Arial"/>
          <w:b/>
          <w:i/>
          <w:szCs w:val="24"/>
        </w:rPr>
      </w:pPr>
      <w:r w:rsidRPr="00026388">
        <w:rPr>
          <w:rFonts w:ascii="Arial" w:hAnsi="Arial" w:cs="Arial"/>
          <w:b/>
          <w:i/>
          <w:szCs w:val="24"/>
        </w:rPr>
        <w:t>Seminar "JRC Support to the Enlargement" – Novi Sad – Serbia – 09.12.2014</w:t>
      </w:r>
    </w:p>
    <w:p w:rsidR="00026388" w:rsidRPr="00762294" w:rsidRDefault="00026388" w:rsidP="00026388">
      <w:pPr>
        <w:pStyle w:val="Text1"/>
        <w:spacing w:before="120" w:after="0"/>
        <w:ind w:left="0"/>
        <w:rPr>
          <w:rFonts w:ascii="Arial" w:hAnsi="Arial" w:cs="Arial"/>
          <w:sz w:val="22"/>
          <w:szCs w:val="22"/>
        </w:rPr>
      </w:pPr>
      <w:r w:rsidRPr="00762294">
        <w:rPr>
          <w:rFonts w:ascii="Arial" w:hAnsi="Arial" w:cs="Arial"/>
          <w:sz w:val="22"/>
          <w:szCs w:val="22"/>
        </w:rPr>
        <w:t xml:space="preserve">On 9 December 2014 a seminar on "JRC Support to the Enlargement" took place in Novi Sad (RS). The seminar was co-organised by the JRC and the Serbian Ministry of Education, Science and Technological Development and the University of Novi Sad. </w:t>
      </w:r>
    </w:p>
    <w:p w:rsidR="00026388" w:rsidRPr="00762294" w:rsidRDefault="00026388" w:rsidP="00026388">
      <w:pPr>
        <w:pStyle w:val="Text1"/>
        <w:spacing w:before="120" w:after="0"/>
        <w:ind w:left="0"/>
        <w:rPr>
          <w:rFonts w:ascii="Arial" w:hAnsi="Arial" w:cs="Arial"/>
          <w:sz w:val="22"/>
          <w:szCs w:val="22"/>
        </w:rPr>
      </w:pPr>
      <w:r w:rsidRPr="00762294">
        <w:rPr>
          <w:rFonts w:ascii="Arial" w:hAnsi="Arial" w:cs="Arial"/>
          <w:sz w:val="22"/>
          <w:szCs w:val="22"/>
        </w:rPr>
        <w:t>The aim of the event was to present to key stakeholders, researchers, experts, PhD Students of the Enlargement area the activities carried out by the JRC and in particular to provide specific examples of projects and collaborations with the Republic of Serbia.</w:t>
      </w:r>
    </w:p>
    <w:p w:rsidR="00026388" w:rsidRPr="00762294" w:rsidRDefault="00026388" w:rsidP="00026388">
      <w:pPr>
        <w:pStyle w:val="Text1"/>
        <w:spacing w:before="120" w:after="0"/>
        <w:ind w:left="0"/>
        <w:rPr>
          <w:rFonts w:ascii="Arial" w:hAnsi="Arial" w:cs="Arial"/>
          <w:sz w:val="22"/>
          <w:szCs w:val="22"/>
        </w:rPr>
      </w:pPr>
      <w:r w:rsidRPr="00762294">
        <w:rPr>
          <w:rFonts w:ascii="Arial" w:hAnsi="Arial" w:cs="Arial"/>
          <w:sz w:val="22"/>
          <w:szCs w:val="22"/>
        </w:rPr>
        <w:t>More than 150 researchers and PhD students and experts from Serbia took part in the event. A delegation of 8 representatives from Albania, Bosnia and Herzegovina, the former Yugoslav Republic of Macedonia and Montenegro took part in the Seminar as well and for them a specific Study Visit was organised in the afternoon.</w:t>
      </w:r>
    </w:p>
    <w:p w:rsidR="00026388" w:rsidRPr="00762294" w:rsidRDefault="00026388" w:rsidP="00026388">
      <w:pPr>
        <w:pStyle w:val="Text1"/>
        <w:spacing w:before="120" w:after="0"/>
        <w:ind w:left="0"/>
        <w:rPr>
          <w:rFonts w:ascii="Arial" w:hAnsi="Arial" w:cs="Arial"/>
          <w:sz w:val="22"/>
          <w:szCs w:val="22"/>
        </w:rPr>
      </w:pPr>
      <w:r w:rsidRPr="00762294">
        <w:rPr>
          <w:rFonts w:ascii="Arial" w:hAnsi="Arial" w:cs="Arial"/>
          <w:sz w:val="22"/>
          <w:szCs w:val="22"/>
        </w:rPr>
        <w:t>The Seminar focused on 4 different topics:</w:t>
      </w:r>
    </w:p>
    <w:p w:rsidR="00026388" w:rsidRPr="00762294" w:rsidRDefault="00026388" w:rsidP="00026388">
      <w:pPr>
        <w:pStyle w:val="Text1"/>
        <w:spacing w:before="120" w:after="0"/>
        <w:ind w:left="227"/>
        <w:rPr>
          <w:rFonts w:ascii="Arial" w:hAnsi="Arial" w:cs="Arial"/>
          <w:sz w:val="22"/>
          <w:szCs w:val="22"/>
        </w:rPr>
      </w:pPr>
      <w:r w:rsidRPr="00762294">
        <w:rPr>
          <w:rFonts w:ascii="Arial" w:hAnsi="Arial" w:cs="Arial"/>
          <w:sz w:val="22"/>
          <w:szCs w:val="22"/>
        </w:rPr>
        <w:t>1) JRC Activities in the Enlargement process</w:t>
      </w:r>
    </w:p>
    <w:p w:rsidR="00026388" w:rsidRPr="00762294" w:rsidRDefault="00026388" w:rsidP="00026388">
      <w:pPr>
        <w:pStyle w:val="Text1"/>
        <w:spacing w:before="120" w:after="0"/>
        <w:ind w:left="227"/>
        <w:rPr>
          <w:rFonts w:ascii="Arial" w:hAnsi="Arial" w:cs="Arial"/>
          <w:sz w:val="22"/>
          <w:szCs w:val="22"/>
        </w:rPr>
      </w:pPr>
      <w:r w:rsidRPr="00762294">
        <w:rPr>
          <w:rFonts w:ascii="Arial" w:hAnsi="Arial" w:cs="Arial"/>
          <w:sz w:val="22"/>
          <w:szCs w:val="22"/>
        </w:rPr>
        <w:t>2) Jobs and opportunities at the JRC</w:t>
      </w:r>
    </w:p>
    <w:p w:rsidR="00026388" w:rsidRPr="00762294" w:rsidRDefault="00026388" w:rsidP="00026388">
      <w:pPr>
        <w:pStyle w:val="Text1"/>
        <w:spacing w:before="120" w:after="0"/>
        <w:ind w:left="227"/>
        <w:rPr>
          <w:rFonts w:ascii="Arial" w:hAnsi="Arial" w:cs="Arial"/>
          <w:sz w:val="22"/>
          <w:szCs w:val="22"/>
        </w:rPr>
      </w:pPr>
      <w:r w:rsidRPr="00762294">
        <w:rPr>
          <w:rFonts w:ascii="Arial" w:hAnsi="Arial" w:cs="Arial"/>
          <w:sz w:val="22"/>
          <w:szCs w:val="22"/>
        </w:rPr>
        <w:t>3) EFAS European Flood Awareness System</w:t>
      </w:r>
    </w:p>
    <w:p w:rsidR="00026388" w:rsidRPr="00762294" w:rsidRDefault="00026388" w:rsidP="00026388">
      <w:pPr>
        <w:pStyle w:val="Text1"/>
        <w:spacing w:before="120" w:after="0"/>
        <w:ind w:left="227"/>
        <w:rPr>
          <w:rFonts w:ascii="Arial" w:hAnsi="Arial" w:cs="Arial"/>
          <w:sz w:val="22"/>
          <w:szCs w:val="22"/>
        </w:rPr>
      </w:pPr>
      <w:r w:rsidRPr="00762294">
        <w:rPr>
          <w:rFonts w:ascii="Arial" w:hAnsi="Arial" w:cs="Arial"/>
          <w:sz w:val="22"/>
          <w:szCs w:val="22"/>
        </w:rPr>
        <w:t>4) Bioenergy</w:t>
      </w:r>
    </w:p>
    <w:p w:rsidR="00026388" w:rsidRPr="00026388" w:rsidRDefault="00026388" w:rsidP="00026388">
      <w:pPr>
        <w:pStyle w:val="Text1"/>
        <w:spacing w:before="120" w:after="0"/>
        <w:ind w:left="0"/>
        <w:rPr>
          <w:rFonts w:ascii="Arial" w:hAnsi="Arial" w:cs="Arial"/>
          <w:szCs w:val="24"/>
        </w:rPr>
      </w:pPr>
    </w:p>
    <w:p w:rsidR="00026388" w:rsidRPr="00026388" w:rsidRDefault="00026388" w:rsidP="00026388">
      <w:pPr>
        <w:pStyle w:val="Text1"/>
        <w:spacing w:before="120" w:after="0"/>
        <w:ind w:left="0"/>
        <w:rPr>
          <w:rFonts w:ascii="Arial" w:hAnsi="Arial" w:cs="Arial"/>
          <w:b/>
          <w:i/>
          <w:szCs w:val="24"/>
        </w:rPr>
      </w:pPr>
      <w:r w:rsidRPr="00026388">
        <w:rPr>
          <w:rFonts w:ascii="Arial" w:hAnsi="Arial" w:cs="Arial"/>
          <w:b/>
          <w:i/>
          <w:szCs w:val="24"/>
        </w:rPr>
        <w:t>Seminar "Analysis of food and feed contaminants – legal requirements and challenges for analysts" – Geel – 27 and 28.01.2015</w:t>
      </w:r>
    </w:p>
    <w:p w:rsidR="00026388" w:rsidRPr="00762294" w:rsidRDefault="00026388" w:rsidP="00026388">
      <w:pPr>
        <w:pStyle w:val="Text1"/>
        <w:spacing w:before="120" w:after="0"/>
        <w:ind w:left="0"/>
        <w:rPr>
          <w:rFonts w:ascii="Arial" w:hAnsi="Arial" w:cs="Arial"/>
          <w:sz w:val="22"/>
          <w:szCs w:val="22"/>
        </w:rPr>
      </w:pPr>
      <w:r w:rsidRPr="00762294">
        <w:rPr>
          <w:rFonts w:ascii="Arial" w:hAnsi="Arial" w:cs="Arial"/>
          <w:sz w:val="22"/>
          <w:szCs w:val="22"/>
        </w:rPr>
        <w:t xml:space="preserve">The Seminar took place on 27 and 28 January and </w:t>
      </w:r>
      <w:r w:rsidRPr="00762294">
        <w:rPr>
          <w:rFonts w:ascii="Arial" w:hAnsi="Arial" w:cs="Arial"/>
          <w:sz w:val="22"/>
          <w:szCs w:val="22"/>
        </w:rPr>
        <w:tab/>
        <w:t xml:space="preserve">was focused on food and feed contaminants. Eleven representatives of Universities and Research Institutes from BA, ME, MK, KO, RS and TR took part to the visit. </w:t>
      </w:r>
    </w:p>
    <w:p w:rsidR="00026388" w:rsidRDefault="00026388" w:rsidP="00026388">
      <w:pPr>
        <w:spacing w:before="120" w:after="0"/>
        <w:jc w:val="both"/>
        <w:rPr>
          <w:rFonts w:cs="Arial"/>
          <w:szCs w:val="22"/>
        </w:rPr>
      </w:pPr>
      <w:r w:rsidRPr="00762294">
        <w:rPr>
          <w:rFonts w:cs="Arial"/>
          <w:szCs w:val="22"/>
        </w:rPr>
        <w:t>The aim of the Workshop and Study Visit was to allow the participants to deepen their knowledge on IRMM activities on food safety and quality. The event can be considered a two-day intensive training course; the presentations touched all the main aspects of the challenges the analysts have to face to meet the EU legal requirements. The Programme in fact included several presentations on IRMM activities in the sector of food safety and quality, on performance parameters, as well as the limits of detection and quantification. The workshop included the presentation of a proficiency test and a Study Visit to the food and feed laboratories.</w:t>
      </w:r>
    </w:p>
    <w:p w:rsidR="0097137D" w:rsidRDefault="0097137D" w:rsidP="00026388">
      <w:pPr>
        <w:spacing w:before="120" w:after="0"/>
        <w:jc w:val="both"/>
        <w:rPr>
          <w:rFonts w:cs="Arial"/>
          <w:szCs w:val="22"/>
        </w:rPr>
      </w:pPr>
    </w:p>
    <w:p w:rsidR="0097137D" w:rsidRPr="0097137D" w:rsidRDefault="0097137D" w:rsidP="0097137D">
      <w:pPr>
        <w:pStyle w:val="berschrift1"/>
        <w:numPr>
          <w:ilvl w:val="0"/>
          <w:numId w:val="0"/>
        </w:numPr>
        <w:ind w:left="432"/>
        <w:rPr>
          <w:sz w:val="24"/>
          <w:szCs w:val="24"/>
        </w:rPr>
      </w:pPr>
      <w:r w:rsidRPr="0097137D">
        <w:rPr>
          <w:sz w:val="24"/>
          <w:szCs w:val="24"/>
        </w:rPr>
        <w:t>3.3  JRC Annual Meeting with National Contact Points from the Enlargement and Associated countries</w:t>
      </w:r>
    </w:p>
    <w:p w:rsidR="0097137D" w:rsidRPr="0097137D" w:rsidRDefault="0097137D" w:rsidP="0097137D">
      <w:pPr>
        <w:autoSpaceDE w:val="0"/>
        <w:autoSpaceDN w:val="0"/>
        <w:adjustRightInd w:val="0"/>
        <w:spacing w:after="0"/>
        <w:rPr>
          <w:rFonts w:cs="Arial"/>
          <w:bCs/>
        </w:rPr>
      </w:pPr>
      <w:r w:rsidRPr="0097137D">
        <w:rPr>
          <w:rFonts w:cs="Arial"/>
          <w:b/>
          <w:bCs/>
        </w:rPr>
        <w:t>The fifth meeting with the National Contact Points from the Enlargement and Associated countries</w:t>
      </w:r>
      <w:r w:rsidRPr="0097137D">
        <w:rPr>
          <w:rFonts w:cs="Arial"/>
          <w:bCs/>
        </w:rPr>
        <w:t xml:space="preserve"> to Horizon 2020 took place at Grand Hotel Dino - Baveno (IT) on 26 March 2015. </w:t>
      </w:r>
    </w:p>
    <w:p w:rsidR="0097137D" w:rsidRPr="0097137D" w:rsidRDefault="0097137D" w:rsidP="0097137D">
      <w:pPr>
        <w:autoSpaceDE w:val="0"/>
        <w:autoSpaceDN w:val="0"/>
        <w:adjustRightInd w:val="0"/>
        <w:spacing w:after="0"/>
        <w:rPr>
          <w:rFonts w:cs="Arial"/>
          <w:bCs/>
        </w:rPr>
      </w:pPr>
    </w:p>
    <w:p w:rsidR="0097137D" w:rsidRPr="0097137D" w:rsidRDefault="0097137D" w:rsidP="0097137D">
      <w:pPr>
        <w:autoSpaceDE w:val="0"/>
        <w:autoSpaceDN w:val="0"/>
        <w:adjustRightInd w:val="0"/>
        <w:spacing w:after="0"/>
        <w:rPr>
          <w:rFonts w:cs="Arial"/>
          <w:bCs/>
        </w:rPr>
      </w:pPr>
      <w:r w:rsidRPr="0097137D">
        <w:rPr>
          <w:rFonts w:cs="Arial"/>
          <w:bCs/>
        </w:rPr>
        <w:t>The objectives of the meeting were:</w:t>
      </w:r>
    </w:p>
    <w:p w:rsidR="0097137D" w:rsidRPr="0097137D" w:rsidRDefault="0097137D" w:rsidP="0097137D">
      <w:pPr>
        <w:autoSpaceDE w:val="0"/>
        <w:autoSpaceDN w:val="0"/>
        <w:adjustRightInd w:val="0"/>
        <w:spacing w:after="0"/>
        <w:rPr>
          <w:rFonts w:cs="Arial"/>
          <w:bCs/>
        </w:rPr>
      </w:pPr>
    </w:p>
    <w:p w:rsidR="0097137D" w:rsidRPr="0097137D" w:rsidRDefault="0097137D" w:rsidP="0097137D">
      <w:pPr>
        <w:numPr>
          <w:ilvl w:val="0"/>
          <w:numId w:val="5"/>
        </w:numPr>
        <w:autoSpaceDE w:val="0"/>
        <w:autoSpaceDN w:val="0"/>
        <w:adjustRightInd w:val="0"/>
        <w:spacing w:before="120" w:after="0"/>
        <w:ind w:left="714" w:hanging="357"/>
        <w:jc w:val="both"/>
        <w:rPr>
          <w:rFonts w:cs="Arial"/>
          <w:bCs/>
        </w:rPr>
      </w:pPr>
      <w:r w:rsidRPr="0097137D">
        <w:rPr>
          <w:rFonts w:cs="Arial"/>
          <w:bCs/>
        </w:rPr>
        <w:t xml:space="preserve">to present and discuss the on-going cooperation including the participation in the JRC Enlargement and Integration Action (E&amp;IA), in the Travel and Accommodation Facility IPA TAC, the on-going collaboration agreements, and future developments; </w:t>
      </w:r>
    </w:p>
    <w:p w:rsidR="0097137D" w:rsidRPr="0097137D" w:rsidRDefault="0097137D" w:rsidP="0097137D">
      <w:pPr>
        <w:numPr>
          <w:ilvl w:val="0"/>
          <w:numId w:val="5"/>
        </w:numPr>
        <w:autoSpaceDE w:val="0"/>
        <w:autoSpaceDN w:val="0"/>
        <w:adjustRightInd w:val="0"/>
        <w:spacing w:before="120" w:after="0"/>
        <w:ind w:left="714" w:hanging="357"/>
        <w:jc w:val="both"/>
        <w:rPr>
          <w:rFonts w:cs="Arial"/>
          <w:bCs/>
        </w:rPr>
      </w:pPr>
      <w:r w:rsidRPr="0097137D">
        <w:rPr>
          <w:rFonts w:cs="Arial"/>
          <w:bCs/>
        </w:rPr>
        <w:lastRenderedPageBreak/>
        <w:t>to set the country priorities for the next JRC E&amp;IA 2015;</w:t>
      </w:r>
    </w:p>
    <w:p w:rsidR="0097137D" w:rsidRPr="0097137D" w:rsidRDefault="0097137D" w:rsidP="0097137D">
      <w:pPr>
        <w:numPr>
          <w:ilvl w:val="0"/>
          <w:numId w:val="5"/>
        </w:numPr>
        <w:autoSpaceDE w:val="0"/>
        <w:autoSpaceDN w:val="0"/>
        <w:adjustRightInd w:val="0"/>
        <w:spacing w:before="120" w:after="0"/>
        <w:ind w:left="714" w:hanging="357"/>
        <w:jc w:val="both"/>
        <w:rPr>
          <w:rFonts w:cs="Arial"/>
          <w:bCs/>
        </w:rPr>
      </w:pPr>
      <w:r w:rsidRPr="0097137D">
        <w:rPr>
          <w:rFonts w:cs="Arial"/>
          <w:bCs/>
        </w:rPr>
        <w:t>to present and share the programmes for IPA TAC 2015;</w:t>
      </w:r>
    </w:p>
    <w:p w:rsidR="0097137D" w:rsidRDefault="0097137D" w:rsidP="0097137D">
      <w:pPr>
        <w:numPr>
          <w:ilvl w:val="0"/>
          <w:numId w:val="5"/>
        </w:numPr>
        <w:autoSpaceDE w:val="0"/>
        <w:autoSpaceDN w:val="0"/>
        <w:adjustRightInd w:val="0"/>
        <w:spacing w:before="120" w:after="0"/>
        <w:ind w:left="714" w:hanging="357"/>
        <w:jc w:val="both"/>
        <w:rPr>
          <w:rFonts w:cs="Arial"/>
          <w:bCs/>
        </w:rPr>
      </w:pPr>
      <w:r w:rsidRPr="0097137D">
        <w:rPr>
          <w:rFonts w:cs="Arial"/>
          <w:bCs/>
        </w:rPr>
        <w:t>to discuss about possible improvements in JRC-Enlargement/Associated countries to H2020 cooperation.</w:t>
      </w:r>
    </w:p>
    <w:p w:rsidR="0097137D" w:rsidRPr="0097137D" w:rsidRDefault="0097137D" w:rsidP="0097137D">
      <w:pPr>
        <w:autoSpaceDE w:val="0"/>
        <w:autoSpaceDN w:val="0"/>
        <w:adjustRightInd w:val="0"/>
        <w:spacing w:before="120" w:after="0"/>
        <w:ind w:left="714"/>
        <w:jc w:val="both"/>
        <w:rPr>
          <w:rFonts w:cs="Arial"/>
          <w:bCs/>
        </w:rPr>
      </w:pPr>
    </w:p>
    <w:p w:rsidR="0097137D" w:rsidRPr="0097137D" w:rsidRDefault="0097137D" w:rsidP="0097137D">
      <w:pPr>
        <w:spacing w:after="0"/>
        <w:jc w:val="both"/>
        <w:rPr>
          <w:rFonts w:cs="Arial"/>
          <w:b/>
          <w:sz w:val="26"/>
          <w:szCs w:val="26"/>
        </w:rPr>
      </w:pPr>
      <w:r w:rsidRPr="0097137D">
        <w:rPr>
          <w:rFonts w:cs="Arial"/>
          <w:bCs/>
        </w:rPr>
        <w:t xml:space="preserve">Vladimir Sucha </w:t>
      </w:r>
      <w:r w:rsidRPr="0097137D">
        <w:rPr>
          <w:rFonts w:cs="Arial"/>
          <w:b/>
          <w:bCs/>
        </w:rPr>
        <w:t>(VS)</w:t>
      </w:r>
      <w:r w:rsidRPr="0097137D">
        <w:rPr>
          <w:rFonts w:cs="Arial"/>
          <w:bCs/>
        </w:rPr>
        <w:t xml:space="preserve"> Director-General of the JRC in his closure remarks of the Annual Meeting underlined JRC's full commitment to help enlargement and associated countries through their own contact with JRC or through common participation and activities in macro-regional strategies.  He hopes that having prof.  Veskovic (who comes from one of the enlargement countries from WB and has a deep understanding of the region, but macro-regional policies as well) as JRC grant holder proves JRC's dedication to be a reliable partner to enlargement countries in path to full membership in EU. But he also stressed   that enlargement countries (with the help of JRC) should go through RIS3 process  and stress test process (specially concerning energy and water availability)  to understand fully their own position, but also how they can contribute to European, macro-regional, transnational and national development. </w:t>
      </w:r>
    </w:p>
    <w:p w:rsidR="00026388" w:rsidRDefault="00026388" w:rsidP="00026388"/>
    <w:p w:rsidR="00F10DE6" w:rsidRDefault="004D4361" w:rsidP="004D4361">
      <w:pPr>
        <w:pStyle w:val="berschrift1"/>
        <w:numPr>
          <w:ilvl w:val="0"/>
          <w:numId w:val="0"/>
        </w:numPr>
        <w:ind w:left="432"/>
        <w:rPr>
          <w:sz w:val="24"/>
          <w:szCs w:val="24"/>
        </w:rPr>
      </w:pPr>
      <w:r w:rsidRPr="004D4361">
        <w:rPr>
          <w:sz w:val="24"/>
          <w:szCs w:val="24"/>
        </w:rPr>
        <w:t>3.</w:t>
      </w:r>
      <w:r>
        <w:rPr>
          <w:sz w:val="24"/>
          <w:szCs w:val="24"/>
        </w:rPr>
        <w:t>4</w:t>
      </w:r>
      <w:r w:rsidRPr="004D4361">
        <w:rPr>
          <w:sz w:val="24"/>
          <w:szCs w:val="24"/>
        </w:rPr>
        <w:t xml:space="preserve"> </w:t>
      </w:r>
      <w:r w:rsidR="00F10DE6">
        <w:rPr>
          <w:sz w:val="24"/>
          <w:szCs w:val="24"/>
        </w:rPr>
        <w:t>Workshops related to the JRC Initiative "Scientific Support to the Danube Region"</w:t>
      </w:r>
    </w:p>
    <w:p w:rsidR="004D4361" w:rsidRPr="004D4361" w:rsidRDefault="004D4361" w:rsidP="00F10DE6">
      <w:pPr>
        <w:pStyle w:val="berschrift1"/>
        <w:numPr>
          <w:ilvl w:val="0"/>
          <w:numId w:val="0"/>
        </w:numPr>
        <w:ind w:left="432" w:hanging="432"/>
        <w:rPr>
          <w:sz w:val="24"/>
          <w:szCs w:val="24"/>
        </w:rPr>
      </w:pPr>
      <w:r w:rsidRPr="004D4361">
        <w:rPr>
          <w:sz w:val="24"/>
          <w:szCs w:val="24"/>
        </w:rPr>
        <w:t>Use of Agricultural Residues for Bioenergy Workshop September 25, 2014 Kiev</w:t>
      </w:r>
    </w:p>
    <w:p w:rsidR="004D4361" w:rsidRDefault="004D4361" w:rsidP="00F10DE6">
      <w:pPr>
        <w:pStyle w:val="berschrift1"/>
        <w:numPr>
          <w:ilvl w:val="0"/>
          <w:numId w:val="0"/>
        </w:numPr>
        <w:rPr>
          <w:b w:val="0"/>
          <w:kern w:val="0"/>
          <w:sz w:val="22"/>
          <w:szCs w:val="24"/>
        </w:rPr>
      </w:pPr>
      <w:r w:rsidRPr="00F10DE6">
        <w:rPr>
          <w:b w:val="0"/>
          <w:kern w:val="0"/>
          <w:sz w:val="22"/>
          <w:szCs w:val="24"/>
        </w:rPr>
        <w:t>The European Commission's Joint Research Centre, Enlargement and Integration programme in cooperation with: the Scientific Engineering Centre "Biomass" &amp; Bioenergy Association of Ukraine</w:t>
      </w:r>
    </w:p>
    <w:p w:rsidR="00F10DE6" w:rsidRPr="00F10DE6" w:rsidRDefault="00F10DE6" w:rsidP="00F10DE6">
      <w:pPr>
        <w:jc w:val="both"/>
      </w:pPr>
      <w:r>
        <w:rPr>
          <w:sz w:val="23"/>
          <w:szCs w:val="23"/>
        </w:rPr>
        <w:t xml:space="preserve">This Workshop was organized in cooperation with the Scientific Engineering Centre "Biomass” from Ukraine, the Bioenergy Association of Ukraine (UABIO) and the IEA Bioenergy Task 43 on </w:t>
      </w:r>
      <w:r>
        <w:rPr>
          <w:i/>
          <w:iCs/>
          <w:sz w:val="23"/>
          <w:szCs w:val="23"/>
        </w:rPr>
        <w:t>Biomass feedstock for energy markets</w:t>
      </w:r>
      <w:r>
        <w:rPr>
          <w:sz w:val="23"/>
          <w:szCs w:val="23"/>
        </w:rPr>
        <w:t>. Countries targeted in this Workshop and which did participate were Albania, Israel, Former Yugoslav Republic of Macedonia, Moldova, Serbia and Turkey.</w:t>
      </w:r>
    </w:p>
    <w:p w:rsidR="00F10DE6" w:rsidRDefault="00F10DE6" w:rsidP="004D4361">
      <w:pPr>
        <w:pStyle w:val="berschrift1"/>
        <w:numPr>
          <w:ilvl w:val="0"/>
          <w:numId w:val="0"/>
        </w:numPr>
        <w:ind w:left="432"/>
        <w:rPr>
          <w:sz w:val="24"/>
          <w:szCs w:val="24"/>
        </w:rPr>
      </w:pPr>
    </w:p>
    <w:p w:rsidR="00794A08" w:rsidRPr="00615429" w:rsidRDefault="004D4361" w:rsidP="00615429">
      <w:pPr>
        <w:pStyle w:val="berschrift1"/>
        <w:numPr>
          <w:ilvl w:val="0"/>
          <w:numId w:val="0"/>
        </w:numPr>
        <w:jc w:val="both"/>
        <w:rPr>
          <w:sz w:val="24"/>
          <w:szCs w:val="24"/>
        </w:rPr>
      </w:pPr>
      <w:r w:rsidRPr="00615429">
        <w:rPr>
          <w:sz w:val="24"/>
          <w:szCs w:val="24"/>
        </w:rPr>
        <w:t>The Role of Bioenergy for Energy Security and C</w:t>
      </w:r>
      <w:r w:rsidR="00F10DE6" w:rsidRPr="00615429">
        <w:rPr>
          <w:sz w:val="24"/>
          <w:szCs w:val="24"/>
        </w:rPr>
        <w:t>limate Protection in the Danub</w:t>
      </w:r>
      <w:r w:rsidR="00615429" w:rsidRPr="00615429">
        <w:rPr>
          <w:sz w:val="24"/>
          <w:szCs w:val="24"/>
        </w:rPr>
        <w:t xml:space="preserve">e Region </w:t>
      </w:r>
      <w:r w:rsidR="00794A08" w:rsidRPr="00615429">
        <w:rPr>
          <w:sz w:val="24"/>
          <w:szCs w:val="24"/>
        </w:rPr>
        <w:t xml:space="preserve">Contribution of </w:t>
      </w:r>
      <w:r w:rsidR="00615429">
        <w:rPr>
          <w:sz w:val="24"/>
          <w:szCs w:val="24"/>
        </w:rPr>
        <w:t>Baden-Württemberg and Serbia 23 April 2015</w:t>
      </w:r>
    </w:p>
    <w:p w:rsidR="004911E1" w:rsidRDefault="004911E1" w:rsidP="00F10DE6">
      <w:pPr>
        <w:jc w:val="both"/>
      </w:pPr>
      <w:r>
        <w:t>The parliamentary afternoon aimed to:</w:t>
      </w:r>
    </w:p>
    <w:p w:rsidR="004911E1" w:rsidRDefault="004911E1" w:rsidP="00F10DE6">
      <w:pPr>
        <w:numPr>
          <w:ilvl w:val="0"/>
          <w:numId w:val="9"/>
        </w:numPr>
        <w:jc w:val="both"/>
      </w:pPr>
      <w:r>
        <w:t>Present the transnational cooperation of the bioenergy partnership between Baden-Württemberg and Serbia as contribution to the EU Action plan of the EU Strategy for the Danube Region and impetus for other countries</w:t>
      </w:r>
    </w:p>
    <w:p w:rsidR="004911E1" w:rsidRDefault="004911E1" w:rsidP="00F10DE6">
      <w:pPr>
        <w:numPr>
          <w:ilvl w:val="0"/>
          <w:numId w:val="9"/>
        </w:numPr>
        <w:jc w:val="both"/>
      </w:pPr>
      <w:r>
        <w:t>Identify key policy options for favourable framework conditions enhancing the market uptake of sustainable bioenergy</w:t>
      </w:r>
    </w:p>
    <w:p w:rsidR="004911E1" w:rsidRDefault="004911E1" w:rsidP="00F10DE6">
      <w:pPr>
        <w:numPr>
          <w:ilvl w:val="0"/>
          <w:numId w:val="9"/>
        </w:numPr>
        <w:jc w:val="both"/>
      </w:pPr>
      <w:r>
        <w:t>Stress the importance of transnational cooperation for achieving ambitious renewable energy and climate targets while increasing energy security</w:t>
      </w:r>
    </w:p>
    <w:p w:rsidR="004911E1" w:rsidRDefault="004911E1" w:rsidP="00F10DE6">
      <w:pPr>
        <w:numPr>
          <w:ilvl w:val="0"/>
          <w:numId w:val="9"/>
        </w:numPr>
        <w:jc w:val="both"/>
      </w:pPr>
      <w:r>
        <w:t xml:space="preserve"> Gain insights from policy-makers about their view on how to develop the bioenergy as renewable and dispatchable energy bringing additional benefits for rural development</w:t>
      </w:r>
    </w:p>
    <w:p w:rsidR="004911E1" w:rsidRDefault="004911E1" w:rsidP="00F10DE6">
      <w:pPr>
        <w:jc w:val="both"/>
      </w:pPr>
      <w:r>
        <w:t>The parliamentary afternoon addresses members of the European Parliament and high level representatives of the European Commission, government officials from Danube countries, private sector representatives, development organizations and transnational project consortia.</w:t>
      </w:r>
    </w:p>
    <w:p w:rsidR="00F10DE6" w:rsidRDefault="00F10DE6" w:rsidP="00264668">
      <w:pPr>
        <w:pStyle w:val="berschrift1"/>
        <w:numPr>
          <w:ilvl w:val="0"/>
          <w:numId w:val="0"/>
        </w:numPr>
        <w:spacing w:after="0"/>
        <w:ind w:left="432"/>
        <w:rPr>
          <w:sz w:val="24"/>
          <w:szCs w:val="24"/>
        </w:rPr>
      </w:pPr>
    </w:p>
    <w:p w:rsidR="004D4361" w:rsidRPr="004D4361" w:rsidRDefault="004D4361" w:rsidP="00615429">
      <w:pPr>
        <w:pStyle w:val="berschrift1"/>
        <w:numPr>
          <w:ilvl w:val="0"/>
          <w:numId w:val="0"/>
        </w:numPr>
        <w:spacing w:after="0"/>
        <w:ind w:left="432" w:hanging="432"/>
        <w:rPr>
          <w:sz w:val="24"/>
          <w:szCs w:val="24"/>
        </w:rPr>
      </w:pPr>
      <w:r w:rsidRPr="004D4361">
        <w:rPr>
          <w:sz w:val="24"/>
          <w:szCs w:val="24"/>
        </w:rPr>
        <w:t xml:space="preserve">International Conference on “Land Quality and Landscape Processes” </w:t>
      </w:r>
    </w:p>
    <w:p w:rsidR="004D4361" w:rsidRDefault="004D4361" w:rsidP="00615429">
      <w:pPr>
        <w:pStyle w:val="berschrift1"/>
        <w:numPr>
          <w:ilvl w:val="0"/>
          <w:numId w:val="0"/>
        </w:numPr>
        <w:spacing w:before="0" w:after="0"/>
        <w:ind w:left="432" w:hanging="432"/>
        <w:rPr>
          <w:sz w:val="24"/>
          <w:szCs w:val="24"/>
        </w:rPr>
      </w:pPr>
      <w:r w:rsidRPr="004D4361">
        <w:rPr>
          <w:sz w:val="24"/>
          <w:szCs w:val="24"/>
        </w:rPr>
        <w:t>Workshop: Soil information in the Danube basin 3rd June 2015, Budapest</w:t>
      </w:r>
    </w:p>
    <w:p w:rsidR="00264668" w:rsidRPr="00264668" w:rsidRDefault="00264668" w:rsidP="00264668"/>
    <w:p w:rsidR="004911E1" w:rsidRDefault="00615429" w:rsidP="00794A08">
      <w:r>
        <w:t xml:space="preserve">The </w:t>
      </w:r>
      <w:r w:rsidR="004911E1" w:rsidRPr="004911E1">
        <w:t xml:space="preserve">workshop </w:t>
      </w:r>
      <w:r>
        <w:t>organised in the framework of the</w:t>
      </w:r>
      <w:r w:rsidR="004911E1" w:rsidRPr="004911E1">
        <w:t xml:space="preserve">  Land and Soil Nexus of the EU’s Danube Strategy</w:t>
      </w:r>
      <w:r>
        <w:t xml:space="preserve"> addressed the following topics:</w:t>
      </w:r>
    </w:p>
    <w:p w:rsidR="00264668" w:rsidRDefault="004911E1" w:rsidP="004911E1">
      <w:r>
        <w:t xml:space="preserve">I. Harmonising soil information in the Danube basin    </w:t>
      </w:r>
    </w:p>
    <w:p w:rsidR="004911E1" w:rsidRDefault="004911E1" w:rsidP="004911E1">
      <w:r>
        <w:t>Inspire; E-SOTER 2:500.000; Digital soil mapping; Managing legacy data; Novel solutions for soil information supply and use; EU Copernicus program</w:t>
      </w:r>
    </w:p>
    <w:p w:rsidR="004911E1" w:rsidRDefault="004911E1" w:rsidP="004911E1">
      <w:r>
        <w:t>II. Soil Water – and the Danube basin water cycle</w:t>
      </w:r>
    </w:p>
    <w:p w:rsidR="004911E1" w:rsidRDefault="004911E1" w:rsidP="004911E1">
      <w:r>
        <w:t>Soil water management; Soil water balance; Ground water level and quality; Topographic relations; Land use effects; Watershed scale evaluation; Climate change; Soil degradation; Scale dependency</w:t>
      </w:r>
    </w:p>
    <w:p w:rsidR="00794A08" w:rsidRDefault="00794A08" w:rsidP="00794A08"/>
    <w:p w:rsidR="00794A08" w:rsidRDefault="00794A08" w:rsidP="00026388"/>
    <w:p w:rsidR="0029584D" w:rsidRPr="00FF2BA2" w:rsidRDefault="006944FC" w:rsidP="0029584D">
      <w:pPr>
        <w:pStyle w:val="berschrift1"/>
        <w:rPr>
          <w:sz w:val="24"/>
          <w:szCs w:val="24"/>
        </w:rPr>
      </w:pPr>
      <w:bookmarkStart w:id="3" w:name="_Toc206914425"/>
      <w:r w:rsidRPr="00FF2BA2">
        <w:rPr>
          <w:sz w:val="24"/>
          <w:szCs w:val="24"/>
        </w:rPr>
        <w:t>Development of</w:t>
      </w:r>
      <w:r w:rsidR="0029584D" w:rsidRPr="00FF2BA2">
        <w:rPr>
          <w:sz w:val="24"/>
          <w:szCs w:val="24"/>
        </w:rPr>
        <w:t xml:space="preserve"> international cooperation</w:t>
      </w:r>
      <w:bookmarkEnd w:id="3"/>
      <w:r w:rsidR="005C08CE" w:rsidRPr="005C08CE">
        <w:rPr>
          <w:sz w:val="24"/>
          <w:szCs w:val="24"/>
        </w:rPr>
        <w:t xml:space="preserve"> and actions on integration into </w:t>
      </w:r>
      <w:r w:rsidR="005C08CE">
        <w:rPr>
          <w:sz w:val="24"/>
          <w:szCs w:val="24"/>
        </w:rPr>
        <w:t>ERA</w:t>
      </w:r>
    </w:p>
    <w:p w:rsidR="00E56122" w:rsidRDefault="00517653" w:rsidP="00714238">
      <w:pPr>
        <w:ind w:left="432"/>
      </w:pPr>
      <w:r>
        <w:t>N/A</w:t>
      </w:r>
    </w:p>
    <w:p w:rsidR="0029584D" w:rsidRPr="00FF2BA2" w:rsidRDefault="00BC493A" w:rsidP="0029584D">
      <w:pPr>
        <w:pStyle w:val="berschrift1"/>
        <w:rPr>
          <w:sz w:val="24"/>
          <w:szCs w:val="24"/>
        </w:rPr>
      </w:pPr>
      <w:bookmarkStart w:id="4" w:name="_Toc206914428"/>
      <w:r>
        <w:rPr>
          <w:sz w:val="24"/>
          <w:szCs w:val="24"/>
        </w:rPr>
        <w:t>Statistics - m</w:t>
      </w:r>
      <w:r w:rsidR="00AB3F9B" w:rsidRPr="00FF2BA2">
        <w:rPr>
          <w:sz w:val="24"/>
          <w:szCs w:val="24"/>
        </w:rPr>
        <w:t>ajor c</w:t>
      </w:r>
      <w:r w:rsidR="0029584D" w:rsidRPr="00FF2BA2">
        <w:rPr>
          <w:sz w:val="24"/>
          <w:szCs w:val="24"/>
        </w:rPr>
        <w:t xml:space="preserve">hanges / updates of </w:t>
      </w:r>
      <w:r w:rsidR="00AB3F9B" w:rsidRPr="00FF2BA2">
        <w:rPr>
          <w:sz w:val="24"/>
          <w:szCs w:val="24"/>
        </w:rPr>
        <w:t xml:space="preserve">relevant </w:t>
      </w:r>
      <w:r w:rsidR="0029584D" w:rsidRPr="00FF2BA2">
        <w:rPr>
          <w:sz w:val="24"/>
          <w:szCs w:val="24"/>
        </w:rPr>
        <w:t>statistical data</w:t>
      </w:r>
      <w:bookmarkEnd w:id="4"/>
    </w:p>
    <w:p w:rsidR="00714238" w:rsidRDefault="00D26E5D" w:rsidP="00D26E5D">
      <w:pPr>
        <w:rPr>
          <w:lang w:val="en-US"/>
        </w:rPr>
      </w:pPr>
      <w:r>
        <w:rPr>
          <w:lang w:val="en-US"/>
        </w:rPr>
        <w:t xml:space="preserve">Below the most relevant statistics and figures of JRC Enlargement and Integration Action 2014. </w:t>
      </w:r>
    </w:p>
    <w:p w:rsidR="00D26E5D" w:rsidRDefault="00D26E5D" w:rsidP="00D26E5D">
      <w:pPr>
        <w:spacing w:before="120" w:after="0"/>
        <w:jc w:val="both"/>
      </w:pPr>
      <w:r>
        <w:t>Every year a call for proposals is launched to JRC Institutes in order to receive from them projects/proposals within their areas of competence. The activities proposed should be in line with JRC key orientations and Enlargement countries priorities, identified during the JRC Enlargement NCPs Annual Meeting.</w:t>
      </w:r>
    </w:p>
    <w:p w:rsidR="00D26E5D" w:rsidRPr="00D26E5D" w:rsidRDefault="00D26E5D" w:rsidP="00D26E5D">
      <w:pPr>
        <w:spacing w:before="120" w:after="0"/>
        <w:jc w:val="both"/>
        <w:rPr>
          <w:rFonts w:ascii="Calibri" w:hAnsi="Calibri" w:cs="Calibri"/>
        </w:rPr>
      </w:pPr>
    </w:p>
    <w:p w:rsidR="00D26E5D" w:rsidRPr="00D26E5D" w:rsidRDefault="00D26E5D" w:rsidP="00D26E5D">
      <w:pPr>
        <w:spacing w:before="120" w:after="0"/>
        <w:jc w:val="both"/>
        <w:rPr>
          <w:rFonts w:ascii="Calibri" w:hAnsi="Calibri" w:cs="Calibri"/>
        </w:rPr>
      </w:pPr>
    </w:p>
    <w:p w:rsidR="00D26E5D" w:rsidRPr="00D26E5D" w:rsidRDefault="00D26E5D" w:rsidP="00D26E5D">
      <w:pPr>
        <w:jc w:val="center"/>
        <w:rPr>
          <w:rFonts w:ascii="Calibri" w:hAnsi="Calibri" w:cs="Calibri"/>
          <w:b/>
        </w:rPr>
      </w:pPr>
      <w:r w:rsidRPr="00D26E5D">
        <w:rPr>
          <w:rFonts w:ascii="Calibri" w:hAnsi="Calibri" w:cs="Calibri"/>
          <w:b/>
        </w:rPr>
        <w:t>Workshops organised in 2014 by each JRC Institute</w:t>
      </w:r>
    </w:p>
    <w:p w:rsidR="00D26E5D" w:rsidRPr="00D26E5D" w:rsidRDefault="00517653" w:rsidP="00D26E5D">
      <w:pPr>
        <w:spacing w:before="120" w:after="0"/>
        <w:jc w:val="center"/>
        <w:rPr>
          <w:rFonts w:ascii="Calibri" w:hAnsi="Calibri" w:cs="Calibri"/>
        </w:rPr>
      </w:pPr>
      <w:r>
        <w:rPr>
          <w:noProof/>
          <w:lang w:eastAsia="en-GB"/>
        </w:rPr>
        <w:drawing>
          <wp:inline distT="0" distB="0" distL="0" distR="0">
            <wp:extent cx="3837305" cy="2085975"/>
            <wp:effectExtent l="0" t="0" r="1079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6E5D" w:rsidRPr="00D26E5D" w:rsidRDefault="00D26E5D" w:rsidP="006F59E5">
      <w:pPr>
        <w:spacing w:before="120" w:after="0"/>
        <w:rPr>
          <w:rFonts w:ascii="Calibri" w:hAnsi="Calibri" w:cs="Calibri"/>
          <w:b/>
        </w:rPr>
      </w:pPr>
    </w:p>
    <w:p w:rsidR="00D26E5D" w:rsidRDefault="00D26E5D" w:rsidP="00D26E5D">
      <w:pPr>
        <w:spacing w:before="120" w:after="0"/>
        <w:jc w:val="center"/>
        <w:rPr>
          <w:rFonts w:ascii="Calibri" w:hAnsi="Calibri" w:cs="Calibri"/>
          <w:b/>
        </w:rPr>
      </w:pPr>
    </w:p>
    <w:p w:rsidR="00615429" w:rsidRPr="00D26E5D" w:rsidRDefault="00615429" w:rsidP="00D26E5D">
      <w:pPr>
        <w:spacing w:before="120" w:after="0"/>
        <w:jc w:val="center"/>
        <w:rPr>
          <w:rFonts w:ascii="Calibri" w:hAnsi="Calibri" w:cs="Calibri"/>
          <w:b/>
        </w:rPr>
      </w:pPr>
    </w:p>
    <w:p w:rsidR="00D26E5D" w:rsidRPr="00762294" w:rsidRDefault="00D26E5D" w:rsidP="00D26E5D">
      <w:pPr>
        <w:spacing w:before="120" w:after="0"/>
        <w:jc w:val="center"/>
        <w:rPr>
          <w:rFonts w:cs="Arial"/>
          <w:b/>
        </w:rPr>
      </w:pPr>
      <w:r w:rsidRPr="00762294">
        <w:rPr>
          <w:rFonts w:cs="Arial"/>
          <w:b/>
        </w:rPr>
        <w:lastRenderedPageBreak/>
        <w:t>Workshops' topics</w:t>
      </w:r>
    </w:p>
    <w:p w:rsidR="00D26E5D" w:rsidRPr="00762294" w:rsidRDefault="00D26E5D" w:rsidP="00D26E5D">
      <w:pPr>
        <w:spacing w:before="120" w:after="0"/>
        <w:jc w:val="both"/>
        <w:rPr>
          <w:rFonts w:cs="Arial"/>
        </w:rPr>
      </w:pPr>
    </w:p>
    <w:p w:rsidR="00D26E5D" w:rsidRPr="00762294" w:rsidRDefault="00D26E5D" w:rsidP="00D26E5D">
      <w:pPr>
        <w:spacing w:before="120" w:after="0"/>
        <w:jc w:val="both"/>
        <w:rPr>
          <w:rFonts w:cs="Arial"/>
        </w:rPr>
      </w:pPr>
      <w:r w:rsidRPr="00762294">
        <w:rPr>
          <w:rFonts w:cs="Arial"/>
        </w:rPr>
        <w:t xml:space="preserve">Workshop's topics included agriculture, energy, environment, health and consumer protection, standardisation and reference materials and measurements, innovation and technology transfer, infrastructure in particular digital and reference data as well as nuclear. </w:t>
      </w:r>
    </w:p>
    <w:p w:rsidR="00D26E5D" w:rsidRPr="00D26E5D" w:rsidRDefault="00D26E5D" w:rsidP="00D26E5D">
      <w:pPr>
        <w:spacing w:before="120" w:after="0"/>
        <w:jc w:val="both"/>
        <w:rPr>
          <w:rFonts w:ascii="Calibri" w:hAnsi="Calibri" w:cs="Calibri"/>
        </w:rPr>
      </w:pPr>
    </w:p>
    <w:p w:rsidR="00D26E5D" w:rsidRPr="00D26E5D" w:rsidRDefault="00517653" w:rsidP="00D26E5D">
      <w:pPr>
        <w:spacing w:before="120" w:after="0"/>
        <w:jc w:val="center"/>
        <w:rPr>
          <w:rFonts w:ascii="Calibri" w:hAnsi="Calibri" w:cs="Calibri"/>
        </w:rPr>
      </w:pPr>
      <w:r>
        <w:rPr>
          <w:noProof/>
          <w:lang w:eastAsia="en-GB"/>
        </w:rPr>
        <w:drawing>
          <wp:inline distT="0" distB="0" distL="0" distR="0">
            <wp:extent cx="4001135" cy="2303780"/>
            <wp:effectExtent l="0" t="0" r="18415" b="20320"/>
            <wp:docPr id="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6E5D" w:rsidRPr="00D26E5D" w:rsidRDefault="00D26E5D" w:rsidP="00D26E5D">
      <w:pPr>
        <w:spacing w:before="120" w:after="0"/>
        <w:jc w:val="both"/>
        <w:rPr>
          <w:rFonts w:ascii="Calibri" w:hAnsi="Calibri" w:cs="Calibri"/>
        </w:rPr>
      </w:pPr>
    </w:p>
    <w:p w:rsidR="00D26E5D" w:rsidRPr="00762294" w:rsidRDefault="00D26E5D" w:rsidP="00D26E5D">
      <w:pPr>
        <w:spacing w:before="120"/>
        <w:jc w:val="both"/>
        <w:rPr>
          <w:rFonts w:cs="Arial"/>
        </w:rPr>
      </w:pPr>
      <w:r w:rsidRPr="00762294">
        <w:rPr>
          <w:rFonts w:cs="Arial"/>
        </w:rPr>
        <w:t xml:space="preserve">The eligible countries for the Initiative in 2014 were the candidate countries and the potential candidate countries (Albania, Bosnia and Herzegovina, the Former Yugoslav Republic of Macedonia, Montenegro, Serbia, Turkey and Kosovo*) the new Member State (Croatia), the Associated Countries to the Horizon 2020 Programme (besides Enlargement countries Iceland, Faroe Island, Israel, Moldova, Norway, Switzerland) and the European Neighbourhood Policy Partner Countries (Algeria, Armenia, Azerbaijan, Belarus, Egypt, Georgia, Israel, Jordan, Lebanon, Libya, Morocco, Occupied Palestinian Territory, Syria, Tunisia, Ukraine) and Russia. </w:t>
      </w:r>
    </w:p>
    <w:p w:rsidR="00D26E5D" w:rsidRPr="00D26E5D" w:rsidRDefault="00D26E5D" w:rsidP="00D26E5D">
      <w:pPr>
        <w:autoSpaceDE w:val="0"/>
        <w:autoSpaceDN w:val="0"/>
        <w:adjustRightInd w:val="0"/>
        <w:spacing w:after="0"/>
        <w:jc w:val="both"/>
        <w:rPr>
          <w:rFonts w:ascii="Calibri" w:hAnsi="Calibri" w:cs="Calibri"/>
          <w:i/>
          <w:sz w:val="18"/>
          <w:szCs w:val="18"/>
        </w:rPr>
      </w:pPr>
      <w:r w:rsidRPr="00D26E5D">
        <w:rPr>
          <w:rFonts w:ascii="Calibri" w:hAnsi="Calibri" w:cs="Calibri"/>
          <w:i/>
          <w:sz w:val="18"/>
          <w:szCs w:val="18"/>
        </w:rPr>
        <w:t>*This designation is without prejudice to position on status, and is in line with UNSCR 1244/99 and the ICJ Opinion on the Kosovo declaration of independence</w:t>
      </w:r>
    </w:p>
    <w:p w:rsidR="00D26E5D" w:rsidRPr="00D26E5D" w:rsidRDefault="00D26E5D" w:rsidP="00D26E5D">
      <w:pPr>
        <w:spacing w:before="120"/>
        <w:jc w:val="both"/>
        <w:rPr>
          <w:rFonts w:ascii="Calibri" w:hAnsi="Calibri" w:cs="Calibri"/>
        </w:rPr>
      </w:pPr>
    </w:p>
    <w:p w:rsidR="00D26E5D" w:rsidRPr="006F59E5" w:rsidRDefault="00D26E5D" w:rsidP="00D26E5D">
      <w:pPr>
        <w:spacing w:before="120"/>
        <w:jc w:val="both"/>
        <w:rPr>
          <w:rFonts w:cs="Arial"/>
        </w:rPr>
      </w:pPr>
      <w:r w:rsidRPr="00762294">
        <w:rPr>
          <w:rFonts w:cs="Arial"/>
        </w:rPr>
        <w:t xml:space="preserve">Preferably the E&amp;IA workshops and trainings are organised in the target countries as this increases the participation of representatives from these countries. However, some activities need to be organized at the JRC Institutes. In addition the E&amp;IA Initiative supports the participation of the representatives of the target countries in international events particularly related to the Enlargement countries priorities. The graph below shows the graphical location of the workshop in 2014. </w:t>
      </w:r>
    </w:p>
    <w:p w:rsidR="00D26E5D" w:rsidRPr="00D26E5D" w:rsidRDefault="00D26E5D" w:rsidP="00D26E5D">
      <w:pPr>
        <w:spacing w:before="120"/>
        <w:jc w:val="both"/>
        <w:rPr>
          <w:rFonts w:ascii="Calibri" w:hAnsi="Calibri" w:cs="Calibri"/>
        </w:rPr>
      </w:pPr>
    </w:p>
    <w:p w:rsidR="00D26E5D" w:rsidRPr="00D26E5D" w:rsidRDefault="00517653" w:rsidP="00D26E5D">
      <w:pPr>
        <w:spacing w:before="120"/>
        <w:jc w:val="center"/>
        <w:rPr>
          <w:rFonts w:ascii="Calibri" w:hAnsi="Calibri" w:cs="Calibri"/>
        </w:rPr>
      </w:pPr>
      <w:r>
        <w:rPr>
          <w:noProof/>
          <w:lang w:eastAsia="en-GB"/>
        </w:rPr>
        <w:lastRenderedPageBreak/>
        <w:drawing>
          <wp:inline distT="0" distB="0" distL="0" distR="0">
            <wp:extent cx="4808220" cy="2514600"/>
            <wp:effectExtent l="0" t="0" r="11430" b="19050"/>
            <wp:docPr id="3"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6E5D" w:rsidRPr="00D26E5D" w:rsidRDefault="00D26E5D" w:rsidP="00D26E5D">
      <w:pPr>
        <w:spacing w:before="120"/>
        <w:jc w:val="both"/>
        <w:rPr>
          <w:rFonts w:ascii="Calibri" w:hAnsi="Calibri" w:cs="Calibri"/>
        </w:rPr>
      </w:pPr>
    </w:p>
    <w:p w:rsidR="00D26E5D" w:rsidRPr="00D26E5D" w:rsidRDefault="00D26E5D" w:rsidP="00D26E5D">
      <w:pPr>
        <w:jc w:val="both"/>
        <w:rPr>
          <w:rFonts w:ascii="Calibri" w:hAnsi="Calibri" w:cs="Calibri"/>
        </w:rPr>
      </w:pPr>
    </w:p>
    <w:p w:rsidR="00D26E5D" w:rsidRPr="00762294" w:rsidRDefault="00D26E5D" w:rsidP="00D26E5D">
      <w:pPr>
        <w:jc w:val="both"/>
        <w:rPr>
          <w:rFonts w:cs="Arial"/>
        </w:rPr>
      </w:pPr>
      <w:r w:rsidRPr="00762294">
        <w:rPr>
          <w:rFonts w:cs="Arial"/>
        </w:rPr>
        <w:t xml:space="preserve">The geographical location of the workshops highly influenced the participation from the target countries. The advantage of organising the event in the target country is a higher participation, but the draw-back is that in some cases the event tends to have rather national connotation. </w:t>
      </w:r>
    </w:p>
    <w:p w:rsidR="00D26E5D" w:rsidRPr="00762294" w:rsidRDefault="00D26E5D" w:rsidP="00D26E5D">
      <w:pPr>
        <w:jc w:val="both"/>
        <w:rPr>
          <w:rFonts w:cs="Arial"/>
        </w:rPr>
      </w:pPr>
      <w:r w:rsidRPr="00762294">
        <w:rPr>
          <w:rFonts w:cs="Arial"/>
        </w:rPr>
        <w:t>In the table below, some examples of the participation in the activities organised, from representatives of the hosting country. In the last column, the percentage of participants from the hosting country out of the total number of participants.</w:t>
      </w:r>
    </w:p>
    <w:p w:rsidR="00D26E5D" w:rsidRPr="00D26E5D" w:rsidRDefault="00D26E5D" w:rsidP="00D26E5D">
      <w:pPr>
        <w:jc w:val="both"/>
        <w:rPr>
          <w:rFonts w:ascii="Calibri" w:hAnsi="Calibri" w:cs="Calibri"/>
        </w:rPr>
      </w:pPr>
    </w:p>
    <w:tbl>
      <w:tblPr>
        <w:tblW w:w="9640" w:type="dxa"/>
        <w:tblInd w:w="93" w:type="dxa"/>
        <w:tblLook w:val="04A0" w:firstRow="1" w:lastRow="0" w:firstColumn="1" w:lastColumn="0" w:noHBand="0" w:noVBand="1"/>
      </w:tblPr>
      <w:tblGrid>
        <w:gridCol w:w="6420"/>
        <w:gridCol w:w="1540"/>
        <w:gridCol w:w="560"/>
        <w:gridCol w:w="560"/>
        <w:gridCol w:w="606"/>
      </w:tblGrid>
      <w:tr w:rsidR="00D26E5D" w:rsidRPr="00E56417" w:rsidTr="0066037C">
        <w:trPr>
          <w:trHeight w:val="510"/>
        </w:trPr>
        <w:tc>
          <w:tcPr>
            <w:tcW w:w="642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26E5D" w:rsidRPr="00E56417" w:rsidRDefault="00D26E5D" w:rsidP="0066037C">
            <w:pPr>
              <w:spacing w:after="0"/>
              <w:jc w:val="center"/>
              <w:rPr>
                <w:rFonts w:cs="Arial"/>
                <w:b/>
                <w:bCs/>
                <w:sz w:val="20"/>
                <w:szCs w:val="20"/>
                <w:lang w:eastAsia="en-GB"/>
              </w:rPr>
            </w:pPr>
            <w:r w:rsidRPr="00E56417">
              <w:rPr>
                <w:rFonts w:cs="Arial"/>
                <w:b/>
                <w:bCs/>
                <w:sz w:val="20"/>
                <w:szCs w:val="20"/>
                <w:lang w:eastAsia="en-GB"/>
              </w:rPr>
              <w:t>Workshop</w:t>
            </w:r>
            <w:r>
              <w:rPr>
                <w:rFonts w:cs="Arial"/>
                <w:b/>
                <w:bCs/>
                <w:sz w:val="20"/>
                <w:szCs w:val="20"/>
                <w:lang w:eastAsia="en-GB"/>
              </w:rPr>
              <w:t>, Training, Summer School</w:t>
            </w:r>
          </w:p>
        </w:tc>
        <w:tc>
          <w:tcPr>
            <w:tcW w:w="1540" w:type="dxa"/>
            <w:tcBorders>
              <w:top w:val="single" w:sz="4" w:space="0" w:color="auto"/>
              <w:left w:val="nil"/>
              <w:bottom w:val="single" w:sz="4" w:space="0" w:color="auto"/>
              <w:right w:val="single" w:sz="4" w:space="0" w:color="auto"/>
            </w:tcBorders>
            <w:shd w:val="clear" w:color="000000" w:fill="C0C0C0"/>
            <w:vAlign w:val="center"/>
            <w:hideMark/>
          </w:tcPr>
          <w:p w:rsidR="00D26E5D" w:rsidRPr="00E56417" w:rsidRDefault="00D26E5D" w:rsidP="0066037C">
            <w:pPr>
              <w:spacing w:after="0"/>
              <w:jc w:val="center"/>
              <w:rPr>
                <w:rFonts w:cs="Arial"/>
                <w:b/>
                <w:bCs/>
                <w:sz w:val="20"/>
                <w:szCs w:val="20"/>
                <w:lang w:eastAsia="en-GB"/>
              </w:rPr>
            </w:pPr>
            <w:r w:rsidRPr="00E56417">
              <w:rPr>
                <w:rFonts w:cs="Arial"/>
                <w:b/>
                <w:bCs/>
                <w:sz w:val="20"/>
                <w:szCs w:val="20"/>
                <w:lang w:eastAsia="en-GB"/>
              </w:rPr>
              <w:t>Location</w:t>
            </w:r>
          </w:p>
        </w:tc>
        <w:tc>
          <w:tcPr>
            <w:tcW w:w="560" w:type="dxa"/>
            <w:tcBorders>
              <w:top w:val="single" w:sz="4" w:space="0" w:color="auto"/>
              <w:left w:val="nil"/>
              <w:bottom w:val="single" w:sz="4" w:space="0" w:color="auto"/>
              <w:right w:val="single" w:sz="4" w:space="0" w:color="auto"/>
            </w:tcBorders>
            <w:shd w:val="clear" w:color="000000" w:fill="C0C0C0"/>
            <w:vAlign w:val="center"/>
            <w:hideMark/>
          </w:tcPr>
          <w:p w:rsidR="00D26E5D" w:rsidRPr="00E56417" w:rsidRDefault="00D26E5D" w:rsidP="0066037C">
            <w:pPr>
              <w:spacing w:after="0"/>
              <w:jc w:val="center"/>
              <w:rPr>
                <w:rFonts w:cs="Arial"/>
                <w:b/>
                <w:bCs/>
                <w:sz w:val="20"/>
                <w:szCs w:val="20"/>
                <w:lang w:eastAsia="en-GB"/>
              </w:rPr>
            </w:pPr>
          </w:p>
        </w:tc>
        <w:tc>
          <w:tcPr>
            <w:tcW w:w="560" w:type="dxa"/>
            <w:tcBorders>
              <w:top w:val="single" w:sz="4" w:space="0" w:color="auto"/>
              <w:left w:val="nil"/>
              <w:bottom w:val="single" w:sz="4" w:space="0" w:color="auto"/>
              <w:right w:val="single" w:sz="4" w:space="0" w:color="auto"/>
            </w:tcBorders>
            <w:shd w:val="clear" w:color="000000" w:fill="C0C0C0"/>
            <w:vAlign w:val="center"/>
            <w:hideMark/>
          </w:tcPr>
          <w:p w:rsidR="00D26E5D" w:rsidRPr="00E56417" w:rsidRDefault="00D26E5D" w:rsidP="0066037C">
            <w:pPr>
              <w:spacing w:after="0"/>
              <w:jc w:val="center"/>
              <w:rPr>
                <w:rFonts w:cs="Arial"/>
                <w:b/>
                <w:bCs/>
                <w:sz w:val="20"/>
                <w:szCs w:val="20"/>
                <w:lang w:eastAsia="en-GB"/>
              </w:rPr>
            </w:pPr>
            <w:r w:rsidRPr="00E56417">
              <w:rPr>
                <w:rFonts w:cs="Arial"/>
                <w:b/>
                <w:bCs/>
                <w:sz w:val="20"/>
                <w:szCs w:val="20"/>
                <w:lang w:eastAsia="en-GB"/>
              </w:rPr>
              <w:t> </w:t>
            </w:r>
            <w:r>
              <w:rPr>
                <w:rFonts w:cs="Arial"/>
                <w:b/>
                <w:bCs/>
                <w:sz w:val="20"/>
                <w:szCs w:val="20"/>
                <w:lang w:eastAsia="en-GB"/>
              </w:rPr>
              <w:t>N.</w:t>
            </w:r>
          </w:p>
        </w:tc>
        <w:tc>
          <w:tcPr>
            <w:tcW w:w="560" w:type="dxa"/>
            <w:tcBorders>
              <w:top w:val="single" w:sz="4" w:space="0" w:color="auto"/>
              <w:left w:val="nil"/>
              <w:bottom w:val="single" w:sz="4" w:space="0" w:color="auto"/>
              <w:right w:val="single" w:sz="4" w:space="0" w:color="auto"/>
            </w:tcBorders>
            <w:shd w:val="clear" w:color="000000" w:fill="C0C0C0"/>
            <w:vAlign w:val="center"/>
            <w:hideMark/>
          </w:tcPr>
          <w:p w:rsidR="00D26E5D" w:rsidRPr="00E56417" w:rsidRDefault="00D26E5D" w:rsidP="0066037C">
            <w:pPr>
              <w:spacing w:after="0"/>
              <w:jc w:val="center"/>
              <w:rPr>
                <w:rFonts w:cs="Arial"/>
                <w:b/>
                <w:bCs/>
                <w:sz w:val="20"/>
                <w:szCs w:val="20"/>
                <w:lang w:eastAsia="en-GB"/>
              </w:rPr>
            </w:pPr>
            <w:r w:rsidRPr="00E56417">
              <w:rPr>
                <w:rFonts w:cs="Arial"/>
                <w:b/>
                <w:bCs/>
                <w:sz w:val="20"/>
                <w:szCs w:val="20"/>
                <w:lang w:eastAsia="en-GB"/>
              </w:rPr>
              <w:t>%</w:t>
            </w:r>
          </w:p>
        </w:tc>
      </w:tr>
      <w:tr w:rsidR="00D26E5D" w:rsidRPr="00E56417" w:rsidTr="0066037C">
        <w:trPr>
          <w:trHeight w:val="300"/>
        </w:trPr>
        <w:tc>
          <w:tcPr>
            <w:tcW w:w="6420" w:type="dxa"/>
            <w:tcBorders>
              <w:top w:val="nil"/>
              <w:left w:val="nil"/>
              <w:bottom w:val="nil"/>
              <w:right w:val="nil"/>
            </w:tcBorders>
            <w:shd w:val="clear" w:color="auto" w:fill="auto"/>
            <w:noWrap/>
            <w:vAlign w:val="bottom"/>
            <w:hideMark/>
          </w:tcPr>
          <w:p w:rsidR="00D26E5D" w:rsidRPr="00E56417" w:rsidRDefault="00D26E5D" w:rsidP="0066037C">
            <w:pPr>
              <w:spacing w:after="0"/>
              <w:rPr>
                <w:rFonts w:cs="Calibri"/>
                <w:color w:val="000000"/>
                <w:lang w:eastAsia="en-GB"/>
              </w:rPr>
            </w:pPr>
          </w:p>
        </w:tc>
        <w:tc>
          <w:tcPr>
            <w:tcW w:w="1540" w:type="dxa"/>
            <w:tcBorders>
              <w:top w:val="nil"/>
              <w:left w:val="nil"/>
              <w:bottom w:val="nil"/>
              <w:right w:val="nil"/>
            </w:tcBorders>
            <w:shd w:val="clear" w:color="auto" w:fill="auto"/>
            <w:noWrap/>
            <w:vAlign w:val="bottom"/>
            <w:hideMark/>
          </w:tcPr>
          <w:p w:rsidR="00D26E5D" w:rsidRPr="00E56417" w:rsidRDefault="00D26E5D" w:rsidP="0066037C">
            <w:pPr>
              <w:spacing w:after="0"/>
              <w:rPr>
                <w:rFonts w:cs="Calibri"/>
                <w:color w:val="000000"/>
                <w:lang w:eastAsia="en-GB"/>
              </w:rPr>
            </w:pPr>
          </w:p>
        </w:tc>
        <w:tc>
          <w:tcPr>
            <w:tcW w:w="560" w:type="dxa"/>
            <w:tcBorders>
              <w:top w:val="nil"/>
              <w:left w:val="nil"/>
              <w:bottom w:val="nil"/>
              <w:right w:val="nil"/>
            </w:tcBorders>
            <w:shd w:val="clear" w:color="auto" w:fill="auto"/>
            <w:noWrap/>
            <w:vAlign w:val="bottom"/>
            <w:hideMark/>
          </w:tcPr>
          <w:p w:rsidR="00D26E5D" w:rsidRPr="00E56417" w:rsidRDefault="00D26E5D" w:rsidP="0066037C">
            <w:pPr>
              <w:spacing w:after="0"/>
              <w:rPr>
                <w:rFonts w:cs="Calibri"/>
                <w:color w:val="000000"/>
                <w:lang w:eastAsia="en-GB"/>
              </w:rPr>
            </w:pPr>
          </w:p>
        </w:tc>
        <w:tc>
          <w:tcPr>
            <w:tcW w:w="560" w:type="dxa"/>
            <w:tcBorders>
              <w:top w:val="nil"/>
              <w:left w:val="nil"/>
              <w:bottom w:val="nil"/>
              <w:right w:val="nil"/>
            </w:tcBorders>
            <w:shd w:val="clear" w:color="auto" w:fill="auto"/>
            <w:noWrap/>
            <w:vAlign w:val="bottom"/>
            <w:hideMark/>
          </w:tcPr>
          <w:p w:rsidR="00D26E5D" w:rsidRPr="00E56417" w:rsidRDefault="00D26E5D" w:rsidP="0066037C">
            <w:pPr>
              <w:spacing w:after="0"/>
              <w:rPr>
                <w:rFonts w:cs="Calibri"/>
                <w:color w:val="000000"/>
                <w:lang w:eastAsia="en-GB"/>
              </w:rPr>
            </w:pPr>
          </w:p>
        </w:tc>
        <w:tc>
          <w:tcPr>
            <w:tcW w:w="560" w:type="dxa"/>
            <w:tcBorders>
              <w:top w:val="nil"/>
              <w:left w:val="nil"/>
              <w:bottom w:val="nil"/>
              <w:right w:val="nil"/>
            </w:tcBorders>
            <w:shd w:val="clear" w:color="auto" w:fill="auto"/>
            <w:noWrap/>
            <w:vAlign w:val="bottom"/>
            <w:hideMark/>
          </w:tcPr>
          <w:p w:rsidR="00D26E5D" w:rsidRPr="00E56417" w:rsidRDefault="00D26E5D" w:rsidP="0066037C">
            <w:pPr>
              <w:spacing w:after="0"/>
              <w:rPr>
                <w:rFonts w:cs="Calibri"/>
                <w:color w:val="000000"/>
                <w:lang w:eastAsia="en-GB"/>
              </w:rPr>
            </w:pPr>
          </w:p>
        </w:tc>
      </w:tr>
      <w:tr w:rsidR="00D26E5D" w:rsidRPr="00E56417" w:rsidTr="0066037C">
        <w:trPr>
          <w:trHeight w:val="480"/>
        </w:trPr>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Danube Innovation Nexus –Summer School</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Belgrade</w:t>
            </w:r>
          </w:p>
        </w:tc>
        <w:tc>
          <w:tcPr>
            <w:tcW w:w="56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RS</w:t>
            </w:r>
          </w:p>
        </w:tc>
        <w:tc>
          <w:tcPr>
            <w:tcW w:w="560" w:type="dxa"/>
            <w:tcBorders>
              <w:top w:val="single" w:sz="4" w:space="0" w:color="auto"/>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67</w:t>
            </w:r>
          </w:p>
        </w:tc>
        <w:tc>
          <w:tcPr>
            <w:tcW w:w="560" w:type="dxa"/>
            <w:tcBorders>
              <w:top w:val="single" w:sz="4" w:space="0" w:color="auto"/>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67.7</w:t>
            </w:r>
          </w:p>
        </w:tc>
      </w:tr>
      <w:tr w:rsidR="00D26E5D" w:rsidRPr="00E56417" w:rsidTr="0066037C">
        <w:trPr>
          <w:trHeight w:val="465"/>
        </w:trPr>
        <w:tc>
          <w:tcPr>
            <w:tcW w:w="6420" w:type="dxa"/>
            <w:tcBorders>
              <w:top w:val="nil"/>
              <w:left w:val="single" w:sz="4" w:space="0" w:color="auto"/>
              <w:bottom w:val="nil"/>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Open Data and Spatial Data Infrastructures in Central and Eastern Europe</w:t>
            </w:r>
          </w:p>
        </w:tc>
        <w:tc>
          <w:tcPr>
            <w:tcW w:w="1540" w:type="dxa"/>
            <w:tcBorders>
              <w:top w:val="nil"/>
              <w:left w:val="nil"/>
              <w:bottom w:val="nil"/>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Belgrade</w:t>
            </w:r>
          </w:p>
        </w:tc>
        <w:tc>
          <w:tcPr>
            <w:tcW w:w="560" w:type="dxa"/>
            <w:tcBorders>
              <w:top w:val="nil"/>
              <w:left w:val="single" w:sz="4" w:space="0" w:color="auto"/>
              <w:bottom w:val="nil"/>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RS</w:t>
            </w:r>
          </w:p>
        </w:tc>
        <w:tc>
          <w:tcPr>
            <w:tcW w:w="560" w:type="dxa"/>
            <w:tcBorders>
              <w:top w:val="nil"/>
              <w:left w:val="nil"/>
              <w:bottom w:val="nil"/>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43</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66.2</w:t>
            </w:r>
          </w:p>
        </w:tc>
      </w:tr>
      <w:tr w:rsidR="00D26E5D" w:rsidRPr="00E56417" w:rsidTr="0066037C">
        <w:trPr>
          <w:trHeight w:val="465"/>
        </w:trPr>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INSPIRE Implementation in the Danube Region</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Zagreb</w:t>
            </w:r>
          </w:p>
        </w:tc>
        <w:tc>
          <w:tcPr>
            <w:tcW w:w="56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HR</w:t>
            </w:r>
          </w:p>
        </w:tc>
        <w:tc>
          <w:tcPr>
            <w:tcW w:w="560" w:type="dxa"/>
            <w:tcBorders>
              <w:top w:val="single" w:sz="4" w:space="0" w:color="auto"/>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6</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27.3</w:t>
            </w:r>
          </w:p>
        </w:tc>
      </w:tr>
      <w:tr w:rsidR="00D26E5D" w:rsidRPr="00E56417" w:rsidTr="0066037C">
        <w:trPr>
          <w:trHeight w:val="555"/>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Analysis of food and feed contaminants. The legal and scientific framework behind, including methosd validation and measurement uncertainty</w:t>
            </w:r>
          </w:p>
        </w:tc>
        <w:tc>
          <w:tcPr>
            <w:tcW w:w="1540" w:type="dxa"/>
            <w:tcBorders>
              <w:top w:val="nil"/>
              <w:left w:val="nil"/>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Zagreb</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HR</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24</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32</w:t>
            </w:r>
            <w:r w:rsidRPr="00441643">
              <w:rPr>
                <w:rFonts w:cs="Calibri"/>
                <w:b/>
                <w:color w:val="000000"/>
                <w:sz w:val="20"/>
                <w:szCs w:val="20"/>
                <w:lang w:eastAsia="en-GB"/>
              </w:rPr>
              <w:t>,0</w:t>
            </w:r>
          </w:p>
        </w:tc>
      </w:tr>
      <w:tr w:rsidR="00D26E5D" w:rsidRPr="00E56417" w:rsidTr="0066037C">
        <w:trPr>
          <w:trHeight w:val="510"/>
        </w:trPr>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The Future Role of Energy Storage in South Eastern Europe</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Tirana</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AL</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10</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27.8</w:t>
            </w:r>
          </w:p>
        </w:tc>
      </w:tr>
      <w:tr w:rsidR="00D26E5D" w:rsidRPr="00E56417" w:rsidTr="0066037C">
        <w:trPr>
          <w:trHeight w:val="645"/>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Physics bades modelling of material properties and experimental observations  Special Focus - Plasticity and creep at different length scales</w:t>
            </w:r>
          </w:p>
        </w:tc>
        <w:tc>
          <w:tcPr>
            <w:tcW w:w="1540" w:type="dxa"/>
            <w:tcBorders>
              <w:top w:val="nil"/>
              <w:left w:val="nil"/>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Cesme - Turkey</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TR</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27</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29.3</w:t>
            </w:r>
          </w:p>
        </w:tc>
      </w:tr>
      <w:tr w:rsidR="00D26E5D" w:rsidRPr="00E56417" w:rsidTr="0066037C">
        <w:trPr>
          <w:trHeight w:val="525"/>
        </w:trPr>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Workshop on Agricultural Trade and Food Security in the Euro-Med Area</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Antalya</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TR</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15</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57.7</w:t>
            </w:r>
          </w:p>
        </w:tc>
      </w:tr>
      <w:tr w:rsidR="00D26E5D" w:rsidRPr="00E56417" w:rsidTr="0066037C">
        <w:trPr>
          <w:trHeight w:val="60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"Costs, benefits and impact assessment of smart grids for Europe and beyond"</w:t>
            </w:r>
          </w:p>
        </w:tc>
        <w:tc>
          <w:tcPr>
            <w:tcW w:w="1540" w:type="dxa"/>
            <w:tcBorders>
              <w:top w:val="nil"/>
              <w:left w:val="nil"/>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Antalya</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TR</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28</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47.5</w:t>
            </w:r>
          </w:p>
        </w:tc>
      </w:tr>
      <w:tr w:rsidR="00D26E5D" w:rsidRPr="00E56417" w:rsidTr="0066037C">
        <w:trPr>
          <w:trHeight w:val="525"/>
        </w:trPr>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Workshop on bioenergy in Ukraine</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Kiev</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UA</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24</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66.7</w:t>
            </w:r>
          </w:p>
        </w:tc>
      </w:tr>
      <w:tr w:rsidR="00D26E5D" w:rsidRPr="00E56417" w:rsidTr="0066037C">
        <w:trPr>
          <w:trHeight w:val="63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International Workshop on Harmonisation of GMO Detection and Analysis</w:t>
            </w:r>
          </w:p>
        </w:tc>
        <w:tc>
          <w:tcPr>
            <w:tcW w:w="1540" w:type="dxa"/>
            <w:tcBorders>
              <w:top w:val="nil"/>
              <w:left w:val="nil"/>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Skopje</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MK</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14</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33.3</w:t>
            </w:r>
          </w:p>
        </w:tc>
      </w:tr>
      <w:tr w:rsidR="00D26E5D" w:rsidRPr="00E56417" w:rsidTr="0066037C">
        <w:trPr>
          <w:trHeight w:val="510"/>
        </w:trPr>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lastRenderedPageBreak/>
              <w:t>Implementation and Use of the Eurocodes in the Candidate and Potential Countries of the EU in the Balkan region</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Skopje</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MK</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12</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28.6</w:t>
            </w:r>
          </w:p>
        </w:tc>
      </w:tr>
      <w:tr w:rsidR="00D26E5D" w:rsidRPr="00E56417" w:rsidTr="0066037C">
        <w:trPr>
          <w:trHeight w:val="51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Implementing the technical requirements of ISO/IEC 17025 in the laboratory</w:t>
            </w:r>
          </w:p>
        </w:tc>
        <w:tc>
          <w:tcPr>
            <w:tcW w:w="1540" w:type="dxa"/>
            <w:tcBorders>
              <w:top w:val="nil"/>
              <w:left w:val="nil"/>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Ariana Tunisia</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TN</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44</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91.7</w:t>
            </w:r>
          </w:p>
        </w:tc>
      </w:tr>
      <w:tr w:rsidR="00D26E5D" w:rsidRPr="00E56417" w:rsidTr="0066037C">
        <w:trPr>
          <w:trHeight w:val="495"/>
        </w:trPr>
        <w:tc>
          <w:tcPr>
            <w:tcW w:w="642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EUROMED Crop Monitoring Workshop 2014</w:t>
            </w:r>
          </w:p>
        </w:tc>
        <w:tc>
          <w:tcPr>
            <w:tcW w:w="154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Rabat</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MA</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30</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38.5</w:t>
            </w:r>
          </w:p>
        </w:tc>
      </w:tr>
      <w:tr w:rsidR="00D26E5D" w:rsidRPr="00E56417" w:rsidTr="0066037C">
        <w:trPr>
          <w:trHeight w:val="510"/>
        </w:trPr>
        <w:tc>
          <w:tcPr>
            <w:tcW w:w="6420" w:type="dxa"/>
            <w:tcBorders>
              <w:top w:val="nil"/>
              <w:left w:val="single" w:sz="4" w:space="0" w:color="auto"/>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Workshop on advanced nuclear forensic analytical and interpretational methodologies - PART A</w:t>
            </w:r>
          </w:p>
        </w:tc>
        <w:tc>
          <w:tcPr>
            <w:tcW w:w="1540" w:type="dxa"/>
            <w:tcBorders>
              <w:top w:val="nil"/>
              <w:left w:val="nil"/>
              <w:bottom w:val="single" w:sz="4" w:space="0" w:color="auto"/>
              <w:right w:val="single" w:sz="4" w:space="0" w:color="auto"/>
            </w:tcBorders>
            <w:shd w:val="clear" w:color="000000" w:fill="FFFFFF"/>
            <w:vAlign w:val="center"/>
            <w:hideMark/>
          </w:tcPr>
          <w:p w:rsidR="00D26E5D" w:rsidRPr="00E56417" w:rsidRDefault="00D26E5D" w:rsidP="0066037C">
            <w:pPr>
              <w:spacing w:after="0"/>
              <w:jc w:val="center"/>
              <w:rPr>
                <w:rFonts w:cs="Calibri"/>
                <w:color w:val="000000"/>
                <w:sz w:val="20"/>
                <w:szCs w:val="20"/>
                <w:lang w:eastAsia="en-GB"/>
              </w:rPr>
            </w:pPr>
            <w:r w:rsidRPr="00E56417">
              <w:rPr>
                <w:rFonts w:cs="Calibri"/>
                <w:color w:val="000000"/>
                <w:sz w:val="20"/>
                <w:szCs w:val="20"/>
                <w:lang w:eastAsia="en-GB"/>
              </w:rPr>
              <w:t>Soreq</w:t>
            </w:r>
          </w:p>
        </w:tc>
        <w:tc>
          <w:tcPr>
            <w:tcW w:w="560" w:type="dxa"/>
            <w:tcBorders>
              <w:top w:val="nil"/>
              <w:left w:val="single" w:sz="4" w:space="0" w:color="auto"/>
              <w:bottom w:val="single" w:sz="4" w:space="0" w:color="auto"/>
              <w:right w:val="single" w:sz="4" w:space="0" w:color="auto"/>
            </w:tcBorders>
            <w:shd w:val="clear" w:color="000000" w:fill="DCE6F1"/>
            <w:vAlign w:val="center"/>
            <w:hideMark/>
          </w:tcPr>
          <w:p w:rsidR="00D26E5D" w:rsidRPr="00E56417" w:rsidRDefault="00D26E5D" w:rsidP="0066037C">
            <w:pPr>
              <w:spacing w:after="0"/>
              <w:rPr>
                <w:rFonts w:cs="Calibri"/>
                <w:sz w:val="20"/>
                <w:szCs w:val="20"/>
                <w:lang w:eastAsia="en-GB"/>
              </w:rPr>
            </w:pPr>
            <w:r w:rsidRPr="00E56417">
              <w:rPr>
                <w:rFonts w:cs="Calibri"/>
                <w:sz w:val="20"/>
                <w:szCs w:val="20"/>
                <w:lang w:eastAsia="en-GB"/>
              </w:rPr>
              <w:t>IL</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right"/>
              <w:rPr>
                <w:rFonts w:cs="Calibri"/>
                <w:sz w:val="20"/>
                <w:szCs w:val="20"/>
                <w:lang w:eastAsia="en-GB"/>
              </w:rPr>
            </w:pPr>
            <w:r w:rsidRPr="00E56417">
              <w:rPr>
                <w:rFonts w:cs="Calibri"/>
                <w:sz w:val="20"/>
                <w:szCs w:val="20"/>
                <w:lang w:eastAsia="en-GB"/>
              </w:rPr>
              <w:t>12</w:t>
            </w:r>
          </w:p>
        </w:tc>
        <w:tc>
          <w:tcPr>
            <w:tcW w:w="560" w:type="dxa"/>
            <w:tcBorders>
              <w:top w:val="nil"/>
              <w:left w:val="nil"/>
              <w:bottom w:val="single" w:sz="4" w:space="0" w:color="auto"/>
              <w:right w:val="single" w:sz="4" w:space="0" w:color="auto"/>
            </w:tcBorders>
            <w:shd w:val="clear" w:color="000000" w:fill="DCE6F1"/>
            <w:vAlign w:val="center"/>
            <w:hideMark/>
          </w:tcPr>
          <w:p w:rsidR="00D26E5D" w:rsidRPr="00E56417" w:rsidRDefault="00D26E5D" w:rsidP="0066037C">
            <w:pPr>
              <w:spacing w:after="0"/>
              <w:jc w:val="center"/>
              <w:rPr>
                <w:rFonts w:cs="Calibri"/>
                <w:b/>
                <w:color w:val="000000"/>
                <w:sz w:val="20"/>
                <w:szCs w:val="20"/>
                <w:lang w:eastAsia="en-GB"/>
              </w:rPr>
            </w:pPr>
            <w:r w:rsidRPr="00E56417">
              <w:rPr>
                <w:rFonts w:cs="Calibri"/>
                <w:b/>
                <w:color w:val="000000"/>
                <w:sz w:val="20"/>
                <w:szCs w:val="20"/>
                <w:lang w:eastAsia="en-GB"/>
              </w:rPr>
              <w:t>85.7</w:t>
            </w:r>
          </w:p>
        </w:tc>
      </w:tr>
    </w:tbl>
    <w:p w:rsidR="00D26E5D" w:rsidRPr="00D26E5D" w:rsidRDefault="00D26E5D" w:rsidP="00D26E5D">
      <w:pPr>
        <w:jc w:val="both"/>
        <w:rPr>
          <w:rFonts w:ascii="Calibri" w:hAnsi="Calibri" w:cs="Calibri"/>
        </w:rPr>
      </w:pPr>
    </w:p>
    <w:p w:rsidR="00D26E5D" w:rsidRPr="00762294" w:rsidRDefault="00D26E5D" w:rsidP="00D26E5D">
      <w:pPr>
        <w:jc w:val="both"/>
        <w:rPr>
          <w:rFonts w:cs="Arial"/>
        </w:rPr>
      </w:pPr>
      <w:r w:rsidRPr="00762294">
        <w:rPr>
          <w:rFonts w:cs="Arial"/>
        </w:rPr>
        <w:t xml:space="preserve">The high rate of participation of representatives from a hosting country is even more evident in the table below showing the number of participants of a specific country in the events organised in its country and in all the other events. </w:t>
      </w:r>
    </w:p>
    <w:p w:rsidR="00D26E5D" w:rsidRPr="00D26E5D" w:rsidRDefault="00D26E5D" w:rsidP="00D26E5D">
      <w:pPr>
        <w:jc w:val="center"/>
        <w:rPr>
          <w:rFonts w:ascii="Calibri" w:hAnsi="Calibri" w:cs="Calibri"/>
          <w:b/>
        </w:rPr>
      </w:pPr>
      <w:r w:rsidRPr="00D26E5D">
        <w:rPr>
          <w:rFonts w:ascii="Calibri" w:hAnsi="Calibri" w:cs="Calibri"/>
          <w:b/>
        </w:rPr>
        <w:t>Participants from target countries per nationality</w:t>
      </w:r>
    </w:p>
    <w:p w:rsidR="00D26E5D" w:rsidRPr="00D26E5D" w:rsidRDefault="00517653" w:rsidP="00D26E5D">
      <w:pPr>
        <w:jc w:val="center"/>
        <w:rPr>
          <w:rFonts w:ascii="Calibri" w:hAnsi="Calibri" w:cs="Calibri"/>
        </w:rPr>
      </w:pPr>
      <w:r>
        <w:rPr>
          <w:noProof/>
          <w:lang w:eastAsia="en-GB"/>
        </w:rPr>
        <w:drawing>
          <wp:inline distT="0" distB="0" distL="0" distR="0">
            <wp:extent cx="5571490" cy="3626485"/>
            <wp:effectExtent l="0" t="0" r="10160" b="12065"/>
            <wp:docPr id="4"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EBD" w:rsidRDefault="00866EBD" w:rsidP="00714238">
      <w:pPr>
        <w:ind w:left="432"/>
      </w:pPr>
    </w:p>
    <w:p w:rsidR="0029584D" w:rsidRPr="00FF2BA2" w:rsidRDefault="0029584D" w:rsidP="0029584D">
      <w:pPr>
        <w:pStyle w:val="berschrift1"/>
        <w:rPr>
          <w:sz w:val="24"/>
          <w:szCs w:val="24"/>
        </w:rPr>
      </w:pPr>
      <w:bookmarkStart w:id="5" w:name="_Toc206914431"/>
      <w:r w:rsidRPr="00FF2BA2">
        <w:rPr>
          <w:sz w:val="24"/>
          <w:szCs w:val="24"/>
        </w:rPr>
        <w:t>Assessment of the development</w:t>
      </w:r>
      <w:r w:rsidR="002761E5">
        <w:rPr>
          <w:sz w:val="24"/>
          <w:szCs w:val="24"/>
        </w:rPr>
        <w:t>s</w:t>
      </w:r>
      <w:r w:rsidRPr="00FF2BA2">
        <w:rPr>
          <w:sz w:val="24"/>
          <w:szCs w:val="24"/>
        </w:rPr>
        <w:t xml:space="preserve"> and outlook </w:t>
      </w:r>
      <w:r w:rsidR="002761E5">
        <w:rPr>
          <w:sz w:val="24"/>
          <w:szCs w:val="24"/>
        </w:rPr>
        <w:t>on</w:t>
      </w:r>
      <w:r w:rsidRPr="00FF2BA2">
        <w:rPr>
          <w:sz w:val="24"/>
          <w:szCs w:val="24"/>
        </w:rPr>
        <w:t xml:space="preserve"> the next 6 months</w:t>
      </w:r>
      <w:bookmarkEnd w:id="5"/>
    </w:p>
    <w:p w:rsidR="006944FC" w:rsidRPr="00FF2BA2" w:rsidRDefault="00B05A98" w:rsidP="00714238">
      <w:pPr>
        <w:ind w:left="432"/>
        <w:rPr>
          <w:i/>
          <w:lang w:val="en-US"/>
        </w:rPr>
      </w:pPr>
      <w:bookmarkStart w:id="6" w:name="_Toc189913652"/>
      <w:r>
        <w:rPr>
          <w:i/>
          <w:lang w:val="en-US"/>
        </w:rPr>
        <w:t>(Optional p</w:t>
      </w:r>
      <w:r w:rsidR="006944FC" w:rsidRPr="00FF2BA2">
        <w:rPr>
          <w:i/>
          <w:lang w:val="en-US"/>
        </w:rPr>
        <w:t>ersonal opinion</w:t>
      </w:r>
      <w:r w:rsidR="00FF2BA2" w:rsidRPr="00FF2BA2">
        <w:rPr>
          <w:i/>
          <w:lang w:val="en-US"/>
        </w:rPr>
        <w:t>)</w:t>
      </w:r>
    </w:p>
    <w:p w:rsidR="00D26E5D" w:rsidRPr="00762294" w:rsidRDefault="00D26E5D" w:rsidP="00D26E5D">
      <w:pPr>
        <w:jc w:val="both"/>
        <w:rPr>
          <w:rFonts w:cs="Arial"/>
        </w:rPr>
      </w:pPr>
      <w:r w:rsidRPr="00762294">
        <w:rPr>
          <w:rFonts w:cs="Arial"/>
        </w:rPr>
        <w:t>The general programme of JRC Enlargement activ</w:t>
      </w:r>
      <w:r w:rsidR="00CE2E09">
        <w:rPr>
          <w:rFonts w:cs="Arial"/>
        </w:rPr>
        <w:t xml:space="preserve">ities for 2015 has been defined, </w:t>
      </w:r>
      <w:r w:rsidRPr="00762294">
        <w:rPr>
          <w:rFonts w:cs="Arial"/>
        </w:rPr>
        <w:t>presented and discussed during the Annual meeting with JRC Enlargement NCPs which t</w:t>
      </w:r>
      <w:r w:rsidR="00CE2E09">
        <w:rPr>
          <w:rFonts w:cs="Arial"/>
        </w:rPr>
        <w:t>ook</w:t>
      </w:r>
      <w:r w:rsidRPr="00762294">
        <w:rPr>
          <w:rFonts w:cs="Arial"/>
        </w:rPr>
        <w:t xml:space="preserve"> place in Ispra on 26-27 March 2015. </w:t>
      </w:r>
    </w:p>
    <w:p w:rsidR="00D26E5D" w:rsidRPr="00762294" w:rsidRDefault="00D26E5D" w:rsidP="00D26E5D">
      <w:pPr>
        <w:jc w:val="both"/>
        <w:rPr>
          <w:rFonts w:cs="Arial"/>
        </w:rPr>
      </w:pPr>
      <w:r w:rsidRPr="00762294">
        <w:rPr>
          <w:rFonts w:cs="Arial"/>
        </w:rPr>
        <w:t xml:space="preserve">In 2015 the following activities are foreseen: </w:t>
      </w:r>
    </w:p>
    <w:p w:rsidR="00D26E5D" w:rsidRPr="00D26E5D" w:rsidRDefault="00D26E5D" w:rsidP="00D26E5D">
      <w:pPr>
        <w:jc w:val="both"/>
        <w:rPr>
          <w:rFonts w:ascii="Calibri" w:hAnsi="Calibri" w:cs="Calibri"/>
        </w:rPr>
      </w:pPr>
    </w:p>
    <w:p w:rsidR="00762294" w:rsidRDefault="00762294" w:rsidP="00D26E5D">
      <w:pPr>
        <w:spacing w:before="120"/>
        <w:jc w:val="both"/>
        <w:rPr>
          <w:rFonts w:cs="Arial"/>
        </w:rPr>
      </w:pPr>
    </w:p>
    <w:p w:rsidR="00615429" w:rsidRDefault="00615429" w:rsidP="00D26E5D">
      <w:pPr>
        <w:spacing w:before="120"/>
        <w:jc w:val="both"/>
        <w:rPr>
          <w:rFonts w:cs="Arial"/>
        </w:rPr>
      </w:pPr>
    </w:p>
    <w:p w:rsidR="00615429" w:rsidRPr="00762294" w:rsidRDefault="00615429" w:rsidP="00D26E5D">
      <w:pPr>
        <w:spacing w:before="120"/>
        <w:jc w:val="both"/>
        <w:rPr>
          <w:rFonts w:cs="Arial"/>
        </w:rPr>
      </w:pPr>
    </w:p>
    <w:p w:rsidR="00D26E5D" w:rsidRPr="00762294" w:rsidRDefault="00D26E5D" w:rsidP="00D26E5D">
      <w:pPr>
        <w:spacing w:before="120"/>
        <w:jc w:val="both"/>
        <w:rPr>
          <w:rFonts w:cs="Arial"/>
          <w:b/>
        </w:rPr>
      </w:pPr>
      <w:r w:rsidRPr="00762294">
        <w:rPr>
          <w:rFonts w:cs="Arial"/>
          <w:b/>
        </w:rPr>
        <w:lastRenderedPageBreak/>
        <w:t>List of activities approved for E&amp;IA 2015</w:t>
      </w:r>
    </w:p>
    <w:p w:rsidR="00D26E5D" w:rsidRPr="00D26E5D" w:rsidRDefault="00D26E5D" w:rsidP="00D26E5D">
      <w:pPr>
        <w:spacing w:before="120"/>
        <w:jc w:val="both"/>
        <w:rPr>
          <w:rFonts w:ascii="Calibri" w:hAnsi="Calibri" w:cs="Calibri"/>
        </w:rPr>
      </w:pPr>
    </w:p>
    <w:tbl>
      <w:tblPr>
        <w:tblW w:w="9796" w:type="dxa"/>
        <w:tblInd w:w="93" w:type="dxa"/>
        <w:tblLook w:val="04A0" w:firstRow="1" w:lastRow="0" w:firstColumn="1" w:lastColumn="0" w:noHBand="0" w:noVBand="1"/>
      </w:tblPr>
      <w:tblGrid>
        <w:gridCol w:w="1299"/>
        <w:gridCol w:w="5662"/>
        <w:gridCol w:w="1418"/>
        <w:gridCol w:w="1417"/>
      </w:tblGrid>
      <w:tr w:rsidR="00D26E5D" w:rsidRPr="00513A0A" w:rsidTr="0066037C">
        <w:trPr>
          <w:trHeight w:val="705"/>
        </w:trPr>
        <w:tc>
          <w:tcPr>
            <w:tcW w:w="1299" w:type="dxa"/>
            <w:tcBorders>
              <w:top w:val="single" w:sz="4" w:space="0" w:color="auto"/>
              <w:left w:val="single" w:sz="4" w:space="0" w:color="auto"/>
              <w:bottom w:val="single" w:sz="4" w:space="0" w:color="auto"/>
              <w:right w:val="single" w:sz="4" w:space="0" w:color="auto"/>
            </w:tcBorders>
            <w:shd w:val="clear" w:color="00FF00" w:fill="FFCC99"/>
            <w:vAlign w:val="center"/>
            <w:hideMark/>
          </w:tcPr>
          <w:p w:rsidR="00D26E5D" w:rsidRPr="00513A0A" w:rsidRDefault="00D26E5D" w:rsidP="0066037C">
            <w:pPr>
              <w:spacing w:after="0"/>
              <w:jc w:val="center"/>
              <w:rPr>
                <w:rFonts w:cs="Arial"/>
                <w:b/>
                <w:bCs/>
                <w:sz w:val="18"/>
                <w:szCs w:val="18"/>
                <w:lang w:eastAsia="en-GB"/>
              </w:rPr>
            </w:pPr>
            <w:r w:rsidRPr="00513A0A">
              <w:rPr>
                <w:rFonts w:cs="Arial"/>
                <w:b/>
                <w:bCs/>
                <w:sz w:val="18"/>
                <w:szCs w:val="18"/>
                <w:lang w:eastAsia="en-GB"/>
              </w:rPr>
              <w:t>TYPE OF ACTIVITY</w:t>
            </w:r>
          </w:p>
        </w:tc>
        <w:tc>
          <w:tcPr>
            <w:tcW w:w="5662" w:type="dxa"/>
            <w:tcBorders>
              <w:top w:val="single" w:sz="4" w:space="0" w:color="auto"/>
              <w:left w:val="single" w:sz="4" w:space="0" w:color="auto"/>
              <w:bottom w:val="single" w:sz="4" w:space="0" w:color="auto"/>
              <w:right w:val="single" w:sz="4" w:space="0" w:color="auto"/>
            </w:tcBorders>
            <w:shd w:val="clear" w:color="00FF00" w:fill="FFCC99"/>
            <w:vAlign w:val="center"/>
            <w:hideMark/>
          </w:tcPr>
          <w:p w:rsidR="00D26E5D" w:rsidRPr="00513A0A" w:rsidRDefault="00D26E5D" w:rsidP="0066037C">
            <w:pPr>
              <w:spacing w:after="0"/>
              <w:jc w:val="center"/>
              <w:rPr>
                <w:rFonts w:cs="Arial"/>
                <w:b/>
                <w:bCs/>
                <w:sz w:val="18"/>
                <w:szCs w:val="18"/>
                <w:lang w:eastAsia="en-GB"/>
              </w:rPr>
            </w:pPr>
            <w:r w:rsidRPr="00513A0A">
              <w:rPr>
                <w:rFonts w:cs="Arial"/>
                <w:b/>
                <w:bCs/>
                <w:sz w:val="18"/>
                <w:szCs w:val="18"/>
                <w:lang w:eastAsia="en-GB"/>
              </w:rPr>
              <w:t>TITLE</w:t>
            </w:r>
          </w:p>
        </w:tc>
        <w:tc>
          <w:tcPr>
            <w:tcW w:w="1418" w:type="dxa"/>
            <w:tcBorders>
              <w:top w:val="single" w:sz="4" w:space="0" w:color="auto"/>
              <w:left w:val="single" w:sz="4" w:space="0" w:color="auto"/>
              <w:bottom w:val="single" w:sz="4" w:space="0" w:color="auto"/>
              <w:right w:val="single" w:sz="4" w:space="0" w:color="auto"/>
            </w:tcBorders>
            <w:shd w:val="clear" w:color="00FF00" w:fill="FFCC99"/>
            <w:vAlign w:val="center"/>
            <w:hideMark/>
          </w:tcPr>
          <w:p w:rsidR="00D26E5D" w:rsidRPr="00513A0A" w:rsidRDefault="00D26E5D" w:rsidP="0066037C">
            <w:pPr>
              <w:spacing w:after="0"/>
              <w:jc w:val="center"/>
              <w:rPr>
                <w:rFonts w:cs="Arial"/>
                <w:b/>
                <w:bCs/>
                <w:sz w:val="18"/>
                <w:szCs w:val="18"/>
                <w:lang w:eastAsia="en-GB"/>
              </w:rPr>
            </w:pPr>
            <w:r w:rsidRPr="00513A0A">
              <w:rPr>
                <w:rFonts w:cs="Arial"/>
                <w:b/>
                <w:bCs/>
                <w:sz w:val="18"/>
                <w:szCs w:val="18"/>
                <w:lang w:eastAsia="en-GB"/>
              </w:rPr>
              <w:t>PLACE</w:t>
            </w:r>
          </w:p>
        </w:tc>
        <w:tc>
          <w:tcPr>
            <w:tcW w:w="1417" w:type="dxa"/>
            <w:tcBorders>
              <w:top w:val="single" w:sz="4" w:space="0" w:color="auto"/>
              <w:left w:val="single" w:sz="4" w:space="0" w:color="auto"/>
              <w:bottom w:val="single" w:sz="4" w:space="0" w:color="auto"/>
              <w:right w:val="single" w:sz="4" w:space="0" w:color="auto"/>
            </w:tcBorders>
            <w:shd w:val="clear" w:color="00FF00" w:fill="FFCC99"/>
            <w:vAlign w:val="center"/>
            <w:hideMark/>
          </w:tcPr>
          <w:p w:rsidR="00D26E5D" w:rsidRPr="00513A0A" w:rsidRDefault="00D26E5D" w:rsidP="0066037C">
            <w:pPr>
              <w:spacing w:after="0"/>
              <w:jc w:val="center"/>
              <w:rPr>
                <w:rFonts w:cs="Arial"/>
                <w:b/>
                <w:bCs/>
                <w:sz w:val="18"/>
                <w:szCs w:val="18"/>
                <w:lang w:eastAsia="en-GB"/>
              </w:rPr>
            </w:pPr>
            <w:r w:rsidRPr="00513A0A">
              <w:rPr>
                <w:rFonts w:cs="Arial"/>
                <w:b/>
                <w:bCs/>
                <w:sz w:val="18"/>
                <w:szCs w:val="18"/>
                <w:lang w:eastAsia="en-GB"/>
              </w:rPr>
              <w:t>DATE</w:t>
            </w:r>
          </w:p>
        </w:tc>
      </w:tr>
      <w:tr w:rsidR="00D26E5D" w:rsidRPr="00513A0A" w:rsidTr="0066037C">
        <w:trPr>
          <w:trHeight w:val="525"/>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Training</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 xml:space="preserve">Training on EC Regulation 994/2010 on Security of Gas Supply </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Athens</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26-27/10/2015</w:t>
            </w:r>
          </w:p>
        </w:tc>
      </w:tr>
      <w:tr w:rsidR="00D26E5D" w:rsidRPr="00513A0A" w:rsidTr="0066037C">
        <w:trPr>
          <w:trHeight w:val="495"/>
        </w:trPr>
        <w:tc>
          <w:tcPr>
            <w:tcW w:w="1299" w:type="dxa"/>
            <w:tcBorders>
              <w:top w:val="nil"/>
              <w:left w:val="single" w:sz="4" w:space="0" w:color="auto"/>
              <w:bottom w:val="single" w:sz="4" w:space="0" w:color="auto"/>
              <w:right w:val="single" w:sz="4" w:space="0" w:color="auto"/>
            </w:tcBorders>
            <w:shd w:val="clear" w:color="000000"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00"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Workshop Model</w:t>
            </w:r>
            <w:r>
              <w:rPr>
                <w:rFonts w:cs="Arial"/>
                <w:sz w:val="18"/>
                <w:szCs w:val="18"/>
                <w:lang w:eastAsia="en-GB"/>
              </w:rPr>
              <w:t>l</w:t>
            </w:r>
            <w:r w:rsidRPr="00513A0A">
              <w:rPr>
                <w:rFonts w:cs="Arial"/>
                <w:sz w:val="18"/>
                <w:szCs w:val="18"/>
                <w:lang w:eastAsia="en-GB"/>
              </w:rPr>
              <w:t>ing Energy Scenarios for the Western Balkans</w:t>
            </w:r>
          </w:p>
        </w:tc>
        <w:tc>
          <w:tcPr>
            <w:tcW w:w="1418"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Vienna/Zagreb</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Oct-15</w:t>
            </w:r>
          </w:p>
        </w:tc>
      </w:tr>
      <w:tr w:rsidR="00D26E5D" w:rsidRPr="00513A0A" w:rsidTr="0066037C">
        <w:trPr>
          <w:trHeight w:val="510"/>
        </w:trPr>
        <w:tc>
          <w:tcPr>
            <w:tcW w:w="1299" w:type="dxa"/>
            <w:vMerge w:val="restart"/>
            <w:tcBorders>
              <w:top w:val="nil"/>
              <w:left w:val="single" w:sz="4" w:space="0" w:color="auto"/>
              <w:bottom w:val="single" w:sz="4" w:space="0" w:color="auto"/>
              <w:right w:val="single" w:sz="4" w:space="0" w:color="auto"/>
            </w:tcBorders>
            <w:shd w:val="clear" w:color="000000" w:fill="CCFFCC"/>
            <w:vAlign w:val="center"/>
            <w:hideMark/>
          </w:tcPr>
          <w:p w:rsidR="00D26E5D" w:rsidRPr="00513A0A" w:rsidRDefault="00D26E5D" w:rsidP="0066037C">
            <w:pPr>
              <w:spacing w:after="0"/>
              <w:jc w:val="center"/>
              <w:rPr>
                <w:rFonts w:cs="Arial"/>
                <w:color w:val="000000"/>
                <w:sz w:val="18"/>
                <w:szCs w:val="18"/>
                <w:lang w:eastAsia="en-GB"/>
              </w:rPr>
            </w:pPr>
            <w:r w:rsidRPr="00513A0A">
              <w:rPr>
                <w:rFonts w:cs="Arial"/>
                <w:color w:val="000000"/>
                <w:sz w:val="18"/>
                <w:szCs w:val="18"/>
                <w:lang w:eastAsia="en-GB"/>
              </w:rPr>
              <w:t>Workshop</w:t>
            </w:r>
          </w:p>
        </w:tc>
        <w:tc>
          <w:tcPr>
            <w:tcW w:w="5662" w:type="dxa"/>
            <w:vMerge w:val="restart"/>
            <w:tcBorders>
              <w:top w:val="nil"/>
              <w:left w:val="single" w:sz="4" w:space="0" w:color="auto"/>
              <w:bottom w:val="single" w:sz="4" w:space="0" w:color="auto"/>
              <w:right w:val="nil"/>
            </w:tcBorders>
            <w:shd w:val="clear" w:color="000000" w:fill="CCFFCC"/>
            <w:vAlign w:val="center"/>
            <w:hideMark/>
          </w:tcPr>
          <w:p w:rsidR="00D26E5D" w:rsidRPr="00513A0A" w:rsidRDefault="00D26E5D" w:rsidP="0066037C">
            <w:pPr>
              <w:spacing w:after="0"/>
              <w:rPr>
                <w:rFonts w:cs="Arial"/>
                <w:color w:val="000000"/>
                <w:sz w:val="18"/>
                <w:szCs w:val="18"/>
                <w:lang w:eastAsia="en-GB"/>
              </w:rPr>
            </w:pPr>
            <w:r w:rsidRPr="00513A0A">
              <w:rPr>
                <w:rFonts w:cs="Arial"/>
                <w:color w:val="000000"/>
                <w:sz w:val="18"/>
                <w:szCs w:val="18"/>
                <w:lang w:eastAsia="en-GB"/>
              </w:rPr>
              <w:t>Workshop on policy and technical options for bioenergy production, including from waste</w:t>
            </w:r>
          </w:p>
        </w:tc>
        <w:tc>
          <w:tcPr>
            <w:tcW w:w="1418" w:type="dxa"/>
            <w:vMerge w:val="restart"/>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color w:val="000000"/>
                <w:sz w:val="18"/>
                <w:szCs w:val="18"/>
                <w:lang w:eastAsia="en-GB"/>
              </w:rPr>
            </w:pPr>
            <w:r w:rsidRPr="00513A0A">
              <w:rPr>
                <w:rFonts w:cs="Arial"/>
                <w:color w:val="000000"/>
                <w:sz w:val="18"/>
                <w:szCs w:val="18"/>
                <w:lang w:eastAsia="en-GB"/>
              </w:rPr>
              <w:t>Tel Aviv</w:t>
            </w:r>
          </w:p>
        </w:tc>
        <w:tc>
          <w:tcPr>
            <w:tcW w:w="1417" w:type="dxa"/>
            <w:vMerge w:val="restart"/>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color w:val="000000"/>
                <w:sz w:val="18"/>
                <w:szCs w:val="18"/>
                <w:lang w:eastAsia="en-GB"/>
              </w:rPr>
            </w:pPr>
            <w:r w:rsidRPr="00513A0A">
              <w:rPr>
                <w:rFonts w:cs="Arial"/>
                <w:color w:val="000000"/>
                <w:sz w:val="18"/>
                <w:szCs w:val="18"/>
                <w:lang w:eastAsia="en-GB"/>
              </w:rPr>
              <w:t>Dec-15</w:t>
            </w:r>
          </w:p>
        </w:tc>
      </w:tr>
      <w:tr w:rsidR="00D26E5D" w:rsidRPr="00513A0A" w:rsidTr="0066037C">
        <w:trPr>
          <w:trHeight w:val="207"/>
        </w:trPr>
        <w:tc>
          <w:tcPr>
            <w:tcW w:w="1299" w:type="dxa"/>
            <w:vMerge/>
            <w:tcBorders>
              <w:top w:val="nil"/>
              <w:left w:val="single" w:sz="4" w:space="0" w:color="auto"/>
              <w:bottom w:val="single" w:sz="4" w:space="0" w:color="auto"/>
              <w:right w:val="single" w:sz="4" w:space="0" w:color="auto"/>
            </w:tcBorders>
            <w:vAlign w:val="center"/>
            <w:hideMark/>
          </w:tcPr>
          <w:p w:rsidR="00D26E5D" w:rsidRPr="00513A0A" w:rsidRDefault="00D26E5D" w:rsidP="0066037C">
            <w:pPr>
              <w:spacing w:after="0"/>
              <w:rPr>
                <w:rFonts w:cs="Arial"/>
                <w:color w:val="000000"/>
                <w:sz w:val="18"/>
                <w:szCs w:val="18"/>
                <w:lang w:eastAsia="en-GB"/>
              </w:rPr>
            </w:pPr>
          </w:p>
        </w:tc>
        <w:tc>
          <w:tcPr>
            <w:tcW w:w="5662" w:type="dxa"/>
            <w:vMerge/>
            <w:tcBorders>
              <w:top w:val="nil"/>
              <w:left w:val="single" w:sz="4" w:space="0" w:color="auto"/>
              <w:bottom w:val="single" w:sz="4" w:space="0" w:color="auto"/>
              <w:right w:val="nil"/>
            </w:tcBorders>
            <w:vAlign w:val="center"/>
            <w:hideMark/>
          </w:tcPr>
          <w:p w:rsidR="00D26E5D" w:rsidRPr="00513A0A" w:rsidRDefault="00D26E5D" w:rsidP="0066037C">
            <w:pPr>
              <w:spacing w:after="0"/>
              <w:rPr>
                <w:rFonts w:cs="Arial"/>
                <w:color w:val="000000"/>
                <w:sz w:val="18"/>
                <w:szCs w:val="18"/>
                <w:lang w:eastAsia="en-G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26E5D" w:rsidRPr="00513A0A" w:rsidRDefault="00D26E5D" w:rsidP="0066037C">
            <w:pPr>
              <w:spacing w:after="0"/>
              <w:rPr>
                <w:rFonts w:cs="Arial"/>
                <w:color w:val="000000"/>
                <w:sz w:val="18"/>
                <w:szCs w:val="18"/>
                <w:lang w:eastAsia="en-GB"/>
              </w:rPr>
            </w:pPr>
          </w:p>
        </w:tc>
        <w:tc>
          <w:tcPr>
            <w:tcW w:w="1417" w:type="dxa"/>
            <w:vMerge/>
            <w:tcBorders>
              <w:top w:val="nil"/>
              <w:left w:val="single" w:sz="4" w:space="0" w:color="auto"/>
              <w:bottom w:val="single" w:sz="4" w:space="0" w:color="auto"/>
              <w:right w:val="single" w:sz="4" w:space="0" w:color="auto"/>
            </w:tcBorders>
            <w:vAlign w:val="center"/>
            <w:hideMark/>
          </w:tcPr>
          <w:p w:rsidR="00D26E5D" w:rsidRPr="00513A0A" w:rsidRDefault="00D26E5D" w:rsidP="0066037C">
            <w:pPr>
              <w:spacing w:after="0"/>
              <w:rPr>
                <w:rFonts w:cs="Arial"/>
                <w:color w:val="000000"/>
                <w:sz w:val="18"/>
                <w:szCs w:val="18"/>
                <w:lang w:eastAsia="en-GB"/>
              </w:rPr>
            </w:pPr>
          </w:p>
        </w:tc>
      </w:tr>
      <w:tr w:rsidR="00D26E5D" w:rsidRPr="00513A0A" w:rsidTr="0066037C">
        <w:trPr>
          <w:trHeight w:val="495"/>
        </w:trPr>
        <w:tc>
          <w:tcPr>
            <w:tcW w:w="1299" w:type="dxa"/>
            <w:tcBorders>
              <w:top w:val="nil"/>
              <w:left w:val="single" w:sz="4" w:space="0" w:color="auto"/>
              <w:bottom w:val="single" w:sz="4" w:space="0" w:color="auto"/>
              <w:right w:val="single" w:sz="4" w:space="0" w:color="auto"/>
            </w:tcBorders>
            <w:shd w:val="clear" w:color="000000"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00"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Workshop on Energy Efficiency Policies, Financing and ESCOs</w:t>
            </w:r>
          </w:p>
        </w:tc>
        <w:tc>
          <w:tcPr>
            <w:tcW w:w="1418"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29-30/09/2015</w:t>
            </w:r>
          </w:p>
        </w:tc>
      </w:tr>
      <w:tr w:rsidR="00D26E5D" w:rsidRPr="00513A0A" w:rsidTr="0066037C">
        <w:trPr>
          <w:trHeight w:val="510"/>
        </w:trPr>
        <w:tc>
          <w:tcPr>
            <w:tcW w:w="1299" w:type="dxa"/>
            <w:tcBorders>
              <w:top w:val="nil"/>
              <w:left w:val="single" w:sz="4" w:space="0" w:color="auto"/>
              <w:bottom w:val="single" w:sz="4" w:space="0" w:color="auto"/>
              <w:right w:val="single" w:sz="4" w:space="0" w:color="auto"/>
            </w:tcBorders>
            <w:shd w:val="clear" w:color="000000"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 + Training</w:t>
            </w:r>
          </w:p>
        </w:tc>
        <w:tc>
          <w:tcPr>
            <w:tcW w:w="5662" w:type="dxa"/>
            <w:tcBorders>
              <w:top w:val="nil"/>
              <w:left w:val="nil"/>
              <w:bottom w:val="single" w:sz="4" w:space="0" w:color="auto"/>
              <w:right w:val="single" w:sz="4" w:space="0" w:color="auto"/>
            </w:tcBorders>
            <w:shd w:val="clear" w:color="000000"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Road-transport &amp; Emissions Modelling (REM) Workshop</w:t>
            </w:r>
          </w:p>
        </w:tc>
        <w:tc>
          <w:tcPr>
            <w:tcW w:w="1418"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Skopje</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10-11/09/2015</w:t>
            </w:r>
          </w:p>
        </w:tc>
      </w:tr>
      <w:tr w:rsidR="00D26E5D" w:rsidRPr="00513A0A" w:rsidTr="0066037C">
        <w:trPr>
          <w:trHeight w:val="600"/>
        </w:trPr>
        <w:tc>
          <w:tcPr>
            <w:tcW w:w="1299" w:type="dxa"/>
            <w:tcBorders>
              <w:top w:val="single" w:sz="8"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Training Workshop</w:t>
            </w:r>
          </w:p>
        </w:tc>
        <w:tc>
          <w:tcPr>
            <w:tcW w:w="5662"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Risk assessment for natural-hazard impact on hazardous chemical installations</w:t>
            </w:r>
          </w:p>
        </w:tc>
        <w:tc>
          <w:tcPr>
            <w:tcW w:w="1418"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w:t>
            </w:r>
          </w:p>
        </w:tc>
        <w:tc>
          <w:tcPr>
            <w:tcW w:w="1417"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Nov-15</w:t>
            </w:r>
          </w:p>
        </w:tc>
      </w:tr>
      <w:tr w:rsidR="00D26E5D" w:rsidRPr="00513A0A" w:rsidTr="0066037C">
        <w:trPr>
          <w:trHeight w:val="495"/>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Conference</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International Conference on Robust Statistics (ICORS) 2015</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Kolkata India</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12-16/01/2015</w:t>
            </w:r>
          </w:p>
        </w:tc>
      </w:tr>
      <w:tr w:rsidR="00D26E5D" w:rsidRPr="00513A0A" w:rsidTr="0066037C">
        <w:trPr>
          <w:trHeight w:val="630"/>
        </w:trPr>
        <w:tc>
          <w:tcPr>
            <w:tcW w:w="1299" w:type="dxa"/>
            <w:tcBorders>
              <w:top w:val="single" w:sz="4" w:space="0" w:color="auto"/>
              <w:left w:val="single" w:sz="4" w:space="0" w:color="auto"/>
              <w:bottom w:val="single" w:sz="4" w:space="0" w:color="auto"/>
              <w:right w:val="single" w:sz="4" w:space="0" w:color="auto"/>
            </w:tcBorders>
            <w:shd w:val="clear" w:color="0000D4"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Training Workshop</w:t>
            </w:r>
          </w:p>
        </w:tc>
        <w:tc>
          <w:tcPr>
            <w:tcW w:w="5662" w:type="dxa"/>
            <w:tcBorders>
              <w:top w:val="nil"/>
              <w:left w:val="nil"/>
              <w:bottom w:val="single" w:sz="4" w:space="0" w:color="auto"/>
              <w:right w:val="single" w:sz="4" w:space="0" w:color="auto"/>
            </w:tcBorders>
            <w:shd w:val="clear" w:color="0000D4"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Adoption of European standards and policies for construction in the Candidate and Potential Countries in the Balkan region</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Enlargement country</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Nov-15</w:t>
            </w:r>
          </w:p>
        </w:tc>
      </w:tr>
      <w:tr w:rsidR="00D26E5D" w:rsidRPr="00513A0A" w:rsidTr="0066037C">
        <w:trPr>
          <w:trHeight w:val="555"/>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EMM OSINT Information Workshop</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Oct-15</w:t>
            </w:r>
          </w:p>
        </w:tc>
      </w:tr>
      <w:tr w:rsidR="00D26E5D" w:rsidRPr="00513A0A" w:rsidTr="0066037C">
        <w:trPr>
          <w:trHeight w:val="585"/>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Training</w:t>
            </w:r>
          </w:p>
        </w:tc>
        <w:tc>
          <w:tcPr>
            <w:tcW w:w="5662" w:type="dxa"/>
            <w:tcBorders>
              <w:top w:val="single" w:sz="4" w:space="0" w:color="auto"/>
              <w:left w:val="nil"/>
              <w:bottom w:val="single" w:sz="4" w:space="0" w:color="auto"/>
              <w:right w:val="single" w:sz="4" w:space="0" w:color="auto"/>
            </w:tcBorders>
            <w:shd w:val="clear" w:color="0000FF" w:fill="CCFFCC"/>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JRC Summer School on</w:t>
            </w:r>
            <w:r w:rsidRPr="00513A0A">
              <w:rPr>
                <w:rFonts w:cs="Arial"/>
                <w:sz w:val="18"/>
                <w:szCs w:val="18"/>
                <w:lang w:eastAsia="en-GB"/>
              </w:rPr>
              <w:br/>
              <w:t>Global Satellite Navigation Systems (GNSS)</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tbd</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Jul-15</w:t>
            </w:r>
          </w:p>
        </w:tc>
      </w:tr>
      <w:tr w:rsidR="00D26E5D" w:rsidRPr="00513A0A" w:rsidTr="0066037C">
        <w:trPr>
          <w:trHeight w:val="645"/>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Workshop </w:t>
            </w:r>
          </w:p>
        </w:tc>
        <w:tc>
          <w:tcPr>
            <w:tcW w:w="5662" w:type="dxa"/>
            <w:tcBorders>
              <w:top w:val="single" w:sz="4" w:space="0" w:color="auto"/>
              <w:left w:val="nil"/>
              <w:bottom w:val="single" w:sz="4" w:space="0" w:color="auto"/>
              <w:right w:val="single" w:sz="4" w:space="0" w:color="auto"/>
            </w:tcBorders>
            <w:shd w:val="clear" w:color="0000FF" w:fill="CCFFCC"/>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 xml:space="preserve">Radio Spectrum Workshop – </w:t>
            </w:r>
            <w:r w:rsidRPr="00513A0A">
              <w:rPr>
                <w:rFonts w:cs="Arial"/>
                <w:sz w:val="18"/>
                <w:szCs w:val="18"/>
                <w:lang w:eastAsia="en-GB"/>
              </w:rPr>
              <w:br/>
              <w:t>Radio Spectrum in the Digital Single Market</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26-30/10/2015</w:t>
            </w:r>
          </w:p>
        </w:tc>
      </w:tr>
      <w:tr w:rsidR="00D26E5D" w:rsidRPr="00513A0A" w:rsidTr="0066037C">
        <w:trPr>
          <w:trHeight w:val="660"/>
        </w:trPr>
        <w:tc>
          <w:tcPr>
            <w:tcW w:w="1299" w:type="dxa"/>
            <w:tcBorders>
              <w:top w:val="single" w:sz="8"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NanoBiotechnology Workshop</w:t>
            </w:r>
            <w:r w:rsidRPr="00513A0A">
              <w:rPr>
                <w:rFonts w:cs="Arial"/>
                <w:sz w:val="18"/>
                <w:szCs w:val="18"/>
                <w:lang w:eastAsia="en-GB"/>
              </w:rPr>
              <w:br/>
              <w:t>- Characterisation of nanomaterials with focus on nanomedicine -</w:t>
            </w:r>
          </w:p>
        </w:tc>
        <w:tc>
          <w:tcPr>
            <w:tcW w:w="1418"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w:t>
            </w:r>
          </w:p>
        </w:tc>
        <w:tc>
          <w:tcPr>
            <w:tcW w:w="1417"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Nov-15</w:t>
            </w:r>
          </w:p>
        </w:tc>
      </w:tr>
      <w:tr w:rsidR="00D26E5D" w:rsidRPr="00513A0A" w:rsidTr="0066037C">
        <w:trPr>
          <w:trHeight w:val="630"/>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Public Health and Nutrition Economics:  the numbers behind prevention?</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Enlargement country</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Nov-15</w:t>
            </w:r>
          </w:p>
        </w:tc>
      </w:tr>
      <w:tr w:rsidR="00D26E5D" w:rsidRPr="00513A0A" w:rsidTr="0066037C">
        <w:trPr>
          <w:trHeight w:val="525"/>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New interventions to reduce overconsumption of alcohol</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Odessa UA</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1-2/10/2015</w:t>
            </w:r>
          </w:p>
        </w:tc>
      </w:tr>
      <w:tr w:rsidR="00D26E5D" w:rsidRPr="00513A0A" w:rsidTr="0066037C">
        <w:trPr>
          <w:trHeight w:val="495"/>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How to increase tax compliance – new tools from behavioural economics</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Kiev</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20-21/06/2015</w:t>
            </w:r>
          </w:p>
        </w:tc>
      </w:tr>
      <w:tr w:rsidR="00D26E5D" w:rsidRPr="00513A0A" w:rsidTr="0066037C">
        <w:trPr>
          <w:trHeight w:val="510"/>
        </w:trPr>
        <w:tc>
          <w:tcPr>
            <w:tcW w:w="1299" w:type="dxa"/>
            <w:tcBorders>
              <w:top w:val="single" w:sz="8"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Training</w:t>
            </w:r>
          </w:p>
        </w:tc>
        <w:tc>
          <w:tcPr>
            <w:tcW w:w="5662"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 xml:space="preserve">Public Engagement about Science, Technology and Innovation </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Bosnia and Herzegovina</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Jul-15</w:t>
            </w:r>
          </w:p>
        </w:tc>
      </w:tr>
      <w:tr w:rsidR="00D26E5D" w:rsidRPr="00513A0A" w:rsidTr="0066037C">
        <w:trPr>
          <w:trHeight w:val="480"/>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 xml:space="preserve">Danube Innovation Partnership Workshop(s) </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tbd</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w:t>
            </w:r>
          </w:p>
        </w:tc>
      </w:tr>
      <w:tr w:rsidR="00D26E5D" w:rsidRPr="00513A0A" w:rsidTr="0066037C">
        <w:trPr>
          <w:trHeight w:val="495"/>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Danube Innovation Partnership – Summer School</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tbd</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July or August</w:t>
            </w:r>
          </w:p>
        </w:tc>
      </w:tr>
      <w:tr w:rsidR="00D26E5D" w:rsidRPr="00513A0A" w:rsidTr="0066037C">
        <w:trPr>
          <w:trHeight w:val="480"/>
        </w:trPr>
        <w:tc>
          <w:tcPr>
            <w:tcW w:w="1299" w:type="dxa"/>
            <w:tcBorders>
              <w:top w:val="single" w:sz="8"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Training Workshop</w:t>
            </w:r>
          </w:p>
        </w:tc>
        <w:tc>
          <w:tcPr>
            <w:tcW w:w="5662"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European Alien Species Information Network: enlargement and training</w:t>
            </w:r>
          </w:p>
        </w:tc>
        <w:tc>
          <w:tcPr>
            <w:tcW w:w="1418"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Istanbul or Ankara</w:t>
            </w:r>
          </w:p>
        </w:tc>
        <w:tc>
          <w:tcPr>
            <w:tcW w:w="1417"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Oct-15</w:t>
            </w:r>
          </w:p>
        </w:tc>
      </w:tr>
      <w:tr w:rsidR="00D26E5D" w:rsidRPr="00513A0A" w:rsidTr="0066037C">
        <w:trPr>
          <w:trHeight w:val="555"/>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Training Workshop</w:t>
            </w:r>
          </w:p>
        </w:tc>
        <w:tc>
          <w:tcPr>
            <w:tcW w:w="5662" w:type="dxa"/>
            <w:tcBorders>
              <w:top w:val="nil"/>
              <w:left w:val="nil"/>
              <w:bottom w:val="single" w:sz="4" w:space="0" w:color="auto"/>
              <w:right w:val="single" w:sz="4" w:space="0" w:color="auto"/>
            </w:tcBorders>
            <w:shd w:val="clear" w:color="0000FF" w:fill="CCFFCC"/>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Twinning Workshop to Exchange Solutions</w:t>
            </w:r>
            <w:r w:rsidRPr="00513A0A">
              <w:rPr>
                <w:rFonts w:cs="Arial"/>
                <w:sz w:val="18"/>
                <w:szCs w:val="18"/>
                <w:lang w:eastAsia="en-GB"/>
              </w:rPr>
              <w:br/>
              <w:t>on Urban Water Management</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Dubrovnik</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24-25/11/2015</w:t>
            </w:r>
          </w:p>
        </w:tc>
      </w:tr>
      <w:tr w:rsidR="00D26E5D" w:rsidRPr="00513A0A" w:rsidTr="0066037C">
        <w:trPr>
          <w:trHeight w:val="555"/>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Scenarios of regional development for the Danube Region</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19-20/11/2015</w:t>
            </w:r>
          </w:p>
        </w:tc>
      </w:tr>
      <w:tr w:rsidR="00D26E5D" w:rsidRPr="00513A0A" w:rsidTr="0066037C">
        <w:trPr>
          <w:trHeight w:val="570"/>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lastRenderedPageBreak/>
              <w:t>Training</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Introduction to the TM5-FASST web-based Scenario Screening Tool</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17-18/11/2015</w:t>
            </w:r>
          </w:p>
        </w:tc>
      </w:tr>
      <w:tr w:rsidR="00D26E5D" w:rsidRPr="00513A0A" w:rsidTr="0066037C">
        <w:trPr>
          <w:trHeight w:val="600"/>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7th CGMS Expert Meeting</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Nov-15</w:t>
            </w:r>
          </w:p>
        </w:tc>
      </w:tr>
      <w:tr w:rsidR="00D26E5D" w:rsidRPr="00513A0A" w:rsidTr="0066037C">
        <w:trPr>
          <w:trHeight w:val="600"/>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New approaches in crop mapping and monitoring in the Copernicus/Sentinel era</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Kiev</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Oct-15</w:t>
            </w:r>
          </w:p>
        </w:tc>
      </w:tr>
      <w:tr w:rsidR="00D26E5D" w:rsidRPr="00513A0A" w:rsidTr="0066037C">
        <w:trPr>
          <w:trHeight w:val="600"/>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Conference</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GTCAP annual Conference</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tbd</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Nov-15</w:t>
            </w:r>
          </w:p>
        </w:tc>
      </w:tr>
      <w:tr w:rsidR="00D26E5D" w:rsidRPr="00513A0A" w:rsidTr="0066037C">
        <w:trPr>
          <w:trHeight w:val="615"/>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 and Training</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Environmental aspects of CAP first pillar Workshop</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tbd</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Sep-15</w:t>
            </w:r>
          </w:p>
        </w:tc>
      </w:tr>
      <w:tr w:rsidR="00D26E5D" w:rsidRPr="00513A0A" w:rsidTr="0066037C">
        <w:trPr>
          <w:trHeight w:val="630"/>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 and Training</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LPIS workshop 2015</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tbd</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Sep-15</w:t>
            </w:r>
          </w:p>
        </w:tc>
      </w:tr>
      <w:tr w:rsidR="00D26E5D" w:rsidRPr="00513A0A" w:rsidTr="0066037C">
        <w:trPr>
          <w:trHeight w:val="600"/>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 and Training</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Area and features measurement Workshop</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tbd</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Jun-15</w:t>
            </w:r>
          </w:p>
        </w:tc>
      </w:tr>
      <w:tr w:rsidR="00D26E5D" w:rsidRPr="00513A0A" w:rsidTr="0066037C">
        <w:trPr>
          <w:trHeight w:val="705"/>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 combined with Training</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INSPIRing National Spatial Data Infrastructures Development in Eastern Europe</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Chisinau MD</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16-17/04/2015</w:t>
            </w:r>
          </w:p>
        </w:tc>
      </w:tr>
      <w:tr w:rsidR="00D26E5D" w:rsidRPr="00513A0A" w:rsidTr="0066037C">
        <w:trPr>
          <w:trHeight w:val="570"/>
        </w:trPr>
        <w:tc>
          <w:tcPr>
            <w:tcW w:w="1299" w:type="dxa"/>
            <w:tcBorders>
              <w:top w:val="nil"/>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Workshop </w:t>
            </w:r>
          </w:p>
        </w:tc>
        <w:tc>
          <w:tcPr>
            <w:tcW w:w="5662"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Data Infrastructures for Sustainable Growth</w:t>
            </w:r>
          </w:p>
        </w:tc>
        <w:tc>
          <w:tcPr>
            <w:tcW w:w="1418"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Lisbon</w:t>
            </w:r>
          </w:p>
        </w:tc>
        <w:tc>
          <w:tcPr>
            <w:tcW w:w="1417" w:type="dxa"/>
            <w:tcBorders>
              <w:top w:val="nil"/>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29/05/2015</w:t>
            </w:r>
          </w:p>
        </w:tc>
      </w:tr>
      <w:tr w:rsidR="00D26E5D" w:rsidRPr="00513A0A" w:rsidTr="0066037C">
        <w:trPr>
          <w:trHeight w:val="570"/>
        </w:trPr>
        <w:tc>
          <w:tcPr>
            <w:tcW w:w="1299" w:type="dxa"/>
            <w:tcBorders>
              <w:top w:val="single" w:sz="8"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Training Course</w:t>
            </w:r>
          </w:p>
        </w:tc>
        <w:tc>
          <w:tcPr>
            <w:tcW w:w="5662"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Producing quality assured measurement data for the research projects of early stage researchers</w:t>
            </w:r>
          </w:p>
        </w:tc>
        <w:tc>
          <w:tcPr>
            <w:tcW w:w="1418"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tbd</w:t>
            </w:r>
          </w:p>
        </w:tc>
        <w:tc>
          <w:tcPr>
            <w:tcW w:w="1417" w:type="dxa"/>
            <w:tcBorders>
              <w:top w:val="single" w:sz="8"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Jun-15</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Workshop </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Supporting the implementation of laboratory accreditation</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tbd</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Sep-15</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20th International Conference on Radionuclide Metrology and its Applications (ICRM 2015)</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Vienna, Austria</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8-11 June 2015 </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Indoor Radon workshop</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 Italy</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October, 2015</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5th Technical Issues and sharing of Best practices on Dual-Use export control workshop</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 Italy</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October, 2015</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Detection and response to radioactive and nuclear material out of regulatory control</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Ispra, Italy</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2 sessions of 5 days: one in May and the other in November 2015 </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Training Course</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Training course on the REM Database Submission Tool</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Ispra, Italy </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maximum 2 sessions of 2 days: one in May and the other in October 2015 </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Forum</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val="fr-FR" w:eastAsia="en-GB"/>
              </w:rPr>
            </w:pPr>
            <w:r w:rsidRPr="00513A0A">
              <w:rPr>
                <w:rFonts w:cs="Arial"/>
                <w:sz w:val="18"/>
                <w:szCs w:val="18"/>
                <w:lang w:val="fr-FR" w:eastAsia="en-GB"/>
              </w:rPr>
              <w:t>45èmes Journées des Actinides (JdA 2015)</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Prague-Průhonice, Czech Republic</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April 15-19, 2015 </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Workshop </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8th Summer School on Actinide Science &amp; Applications</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Karlsruhe</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June, 2015  </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Mini-Workshops on advanced nuclear forensics capabilities</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Switzerland,  and JRC-ITU, 2 </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February 2015 and June/July 2015 </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Dissemination of Knowledge &amp; Expertise in the field of nuclear fuel safety</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ITU, Karlsruhe</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B0630D" w:rsidRDefault="00D26E5D" w:rsidP="0066037C">
            <w:pPr>
              <w:spacing w:after="0"/>
              <w:jc w:val="center"/>
              <w:rPr>
                <w:rFonts w:cs="Arial"/>
                <w:sz w:val="18"/>
                <w:szCs w:val="18"/>
                <w:lang w:eastAsia="en-GB"/>
              </w:rPr>
            </w:pPr>
            <w:r w:rsidRPr="00513A0A">
              <w:rPr>
                <w:rFonts w:cs="Arial"/>
                <w:sz w:val="18"/>
                <w:szCs w:val="18"/>
                <w:lang w:eastAsia="en-GB"/>
              </w:rPr>
              <w:t>15-16 June 2015</w:t>
            </w:r>
          </w:p>
          <w:p w:rsidR="00B0630D" w:rsidRPr="00513A0A" w:rsidRDefault="00B0630D" w:rsidP="0066037C">
            <w:pPr>
              <w:spacing w:after="0"/>
              <w:jc w:val="center"/>
              <w:rPr>
                <w:rFonts w:cs="Arial"/>
                <w:sz w:val="18"/>
                <w:szCs w:val="18"/>
                <w:lang w:eastAsia="en-GB"/>
              </w:rPr>
            </w:pPr>
          </w:p>
        </w:tc>
      </w:tr>
      <w:tr w:rsidR="00B0630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tcPr>
          <w:p w:rsidR="00B0630D" w:rsidRPr="00513A0A" w:rsidRDefault="00B0630D" w:rsidP="0066037C">
            <w:pPr>
              <w:spacing w:after="0"/>
              <w:jc w:val="center"/>
              <w:rPr>
                <w:rFonts w:cs="Arial"/>
                <w:sz w:val="18"/>
                <w:szCs w:val="18"/>
                <w:lang w:eastAsia="en-GB"/>
              </w:rPr>
            </w:pPr>
            <w:r>
              <w:rPr>
                <w:rFonts w:cs="Arial"/>
                <w:sz w:val="18"/>
                <w:szCs w:val="18"/>
                <w:lang w:eastAsia="en-GB"/>
              </w:rPr>
              <w:lastRenderedPageBreak/>
              <w:t>Workshop</w:t>
            </w:r>
          </w:p>
        </w:tc>
        <w:tc>
          <w:tcPr>
            <w:tcW w:w="5662" w:type="dxa"/>
            <w:tcBorders>
              <w:top w:val="single" w:sz="4" w:space="0" w:color="auto"/>
              <w:left w:val="nil"/>
              <w:bottom w:val="single" w:sz="4" w:space="0" w:color="auto"/>
              <w:right w:val="single" w:sz="4" w:space="0" w:color="auto"/>
            </w:tcBorders>
            <w:shd w:val="clear" w:color="0000FF" w:fill="CCFFCC"/>
            <w:vAlign w:val="center"/>
          </w:tcPr>
          <w:p w:rsidR="00B0630D" w:rsidRPr="00513A0A" w:rsidRDefault="00B0630D" w:rsidP="0066037C">
            <w:pPr>
              <w:spacing w:after="0"/>
              <w:rPr>
                <w:rFonts w:cs="Arial"/>
                <w:sz w:val="18"/>
                <w:szCs w:val="18"/>
                <w:lang w:eastAsia="en-GB"/>
              </w:rPr>
            </w:pPr>
            <w:r>
              <w:rPr>
                <w:rFonts w:cs="Arial"/>
                <w:sz w:val="18"/>
                <w:szCs w:val="18"/>
                <w:lang w:eastAsia="en-GB"/>
              </w:rPr>
              <w:t>JRC Annual Event "Scientific Support to the Danube Strategy</w:t>
            </w:r>
          </w:p>
        </w:tc>
        <w:tc>
          <w:tcPr>
            <w:tcW w:w="1418" w:type="dxa"/>
            <w:tcBorders>
              <w:top w:val="single" w:sz="4" w:space="0" w:color="auto"/>
              <w:left w:val="nil"/>
              <w:bottom w:val="single" w:sz="4" w:space="0" w:color="auto"/>
              <w:right w:val="single" w:sz="4" w:space="0" w:color="auto"/>
            </w:tcBorders>
            <w:shd w:val="clear" w:color="0000FF" w:fill="CCFFCC"/>
            <w:vAlign w:val="center"/>
          </w:tcPr>
          <w:p w:rsidR="00B0630D" w:rsidRPr="00513A0A" w:rsidRDefault="00B0630D" w:rsidP="0066037C">
            <w:pPr>
              <w:spacing w:after="0"/>
              <w:jc w:val="center"/>
              <w:rPr>
                <w:rFonts w:cs="Arial"/>
                <w:sz w:val="18"/>
                <w:szCs w:val="18"/>
                <w:lang w:eastAsia="en-GB"/>
              </w:rPr>
            </w:pPr>
            <w:r>
              <w:rPr>
                <w:rFonts w:cs="Arial"/>
                <w:sz w:val="18"/>
                <w:szCs w:val="18"/>
                <w:lang w:eastAsia="en-GB"/>
              </w:rPr>
              <w:t>Ulm</w:t>
            </w:r>
          </w:p>
        </w:tc>
        <w:tc>
          <w:tcPr>
            <w:tcW w:w="1417" w:type="dxa"/>
            <w:tcBorders>
              <w:top w:val="single" w:sz="4" w:space="0" w:color="auto"/>
              <w:left w:val="nil"/>
              <w:bottom w:val="single" w:sz="4" w:space="0" w:color="auto"/>
              <w:right w:val="single" w:sz="4" w:space="0" w:color="auto"/>
            </w:tcBorders>
            <w:shd w:val="clear" w:color="0000FF" w:fill="CCFFCC"/>
            <w:vAlign w:val="center"/>
          </w:tcPr>
          <w:p w:rsidR="00B0630D" w:rsidRPr="00513A0A" w:rsidRDefault="00B0630D" w:rsidP="0066037C">
            <w:pPr>
              <w:spacing w:after="0"/>
              <w:jc w:val="center"/>
              <w:rPr>
                <w:rFonts w:cs="Arial"/>
                <w:sz w:val="18"/>
                <w:szCs w:val="18"/>
                <w:lang w:eastAsia="en-GB"/>
              </w:rPr>
            </w:pPr>
            <w:r>
              <w:rPr>
                <w:rFonts w:cs="Arial"/>
                <w:sz w:val="18"/>
                <w:szCs w:val="18"/>
                <w:lang w:eastAsia="en-GB"/>
              </w:rPr>
              <w:t>27/28 Oct 2015</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Public Participation – A detailed Case Study</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Brussels</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Nov-15</w:t>
            </w:r>
          </w:p>
        </w:tc>
      </w:tr>
      <w:tr w:rsidR="00D26E5D" w:rsidRPr="00513A0A" w:rsidTr="0066037C">
        <w:trPr>
          <w:trHeight w:val="600"/>
        </w:trPr>
        <w:tc>
          <w:tcPr>
            <w:tcW w:w="1299" w:type="dxa"/>
            <w:tcBorders>
              <w:top w:val="single" w:sz="4" w:space="0" w:color="auto"/>
              <w:left w:val="single" w:sz="4" w:space="0" w:color="auto"/>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Workshop</w:t>
            </w:r>
          </w:p>
        </w:tc>
        <w:tc>
          <w:tcPr>
            <w:tcW w:w="5662"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rPr>
                <w:rFonts w:cs="Arial"/>
                <w:sz w:val="18"/>
                <w:szCs w:val="18"/>
                <w:lang w:eastAsia="en-GB"/>
              </w:rPr>
            </w:pPr>
            <w:r w:rsidRPr="00513A0A">
              <w:rPr>
                <w:rFonts w:cs="Arial"/>
                <w:sz w:val="18"/>
                <w:szCs w:val="18"/>
                <w:lang w:eastAsia="en-GB"/>
              </w:rPr>
              <w:t>Security of CBRN facilities: EU and Serbia share best practices on their CBRN Action Plans</w:t>
            </w:r>
          </w:p>
        </w:tc>
        <w:tc>
          <w:tcPr>
            <w:tcW w:w="1418"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Tbilisi, Georgia</w:t>
            </w:r>
          </w:p>
        </w:tc>
        <w:tc>
          <w:tcPr>
            <w:tcW w:w="1417" w:type="dxa"/>
            <w:tcBorders>
              <w:top w:val="single" w:sz="4" w:space="0" w:color="auto"/>
              <w:left w:val="nil"/>
              <w:bottom w:val="single" w:sz="4" w:space="0" w:color="auto"/>
              <w:right w:val="single" w:sz="4" w:space="0" w:color="auto"/>
            </w:tcBorders>
            <w:shd w:val="clear" w:color="0000FF" w:fill="CCFFCC"/>
            <w:vAlign w:val="center"/>
            <w:hideMark/>
          </w:tcPr>
          <w:p w:rsidR="00D26E5D" w:rsidRPr="00513A0A" w:rsidRDefault="00D26E5D" w:rsidP="0066037C">
            <w:pPr>
              <w:spacing w:after="0"/>
              <w:jc w:val="center"/>
              <w:rPr>
                <w:rFonts w:cs="Arial"/>
                <w:sz w:val="18"/>
                <w:szCs w:val="18"/>
                <w:lang w:eastAsia="en-GB"/>
              </w:rPr>
            </w:pPr>
            <w:r w:rsidRPr="00513A0A">
              <w:rPr>
                <w:rFonts w:cs="Arial"/>
                <w:sz w:val="18"/>
                <w:szCs w:val="18"/>
                <w:lang w:eastAsia="en-GB"/>
              </w:rPr>
              <w:t xml:space="preserve">23-24 September 2015 </w:t>
            </w:r>
          </w:p>
        </w:tc>
      </w:tr>
    </w:tbl>
    <w:p w:rsidR="00E56122" w:rsidRDefault="00E56122" w:rsidP="00714238">
      <w:pPr>
        <w:ind w:left="432"/>
        <w:rPr>
          <w:lang w:val="en-US"/>
        </w:rPr>
      </w:pPr>
    </w:p>
    <w:p w:rsidR="00D26E5D" w:rsidRPr="004D4361" w:rsidRDefault="00D26E5D" w:rsidP="00D26E5D">
      <w:pPr>
        <w:pStyle w:val="berschrift2"/>
        <w:rPr>
          <w:sz w:val="24"/>
          <w:szCs w:val="24"/>
        </w:rPr>
      </w:pPr>
      <w:r w:rsidRPr="004D4361">
        <w:rPr>
          <w:sz w:val="24"/>
          <w:szCs w:val="24"/>
        </w:rPr>
        <w:t>SCIENTIFIC SUPPORT TO THE DANUBE REGION</w:t>
      </w:r>
      <w:r w:rsidR="004D4361" w:rsidRPr="004D4361">
        <w:rPr>
          <w:sz w:val="24"/>
          <w:szCs w:val="24"/>
        </w:rPr>
        <w:t xml:space="preserve"> - future events</w:t>
      </w:r>
    </w:p>
    <w:p w:rsidR="008540E5" w:rsidRDefault="008540E5" w:rsidP="008540E5">
      <w:pPr>
        <w:numPr>
          <w:ilvl w:val="0"/>
          <w:numId w:val="8"/>
        </w:numPr>
      </w:pPr>
      <w:r w:rsidRPr="008540E5">
        <w:t>Danube S3 Workshop: “Gathering opportunities around RIS3 priorities” Date: 7th  July 2015</w:t>
      </w:r>
    </w:p>
    <w:p w:rsidR="00866EBD" w:rsidRDefault="008540E5" w:rsidP="00B0630D">
      <w:pPr>
        <w:numPr>
          <w:ilvl w:val="0"/>
          <w:numId w:val="8"/>
        </w:numPr>
      </w:pPr>
      <w:r w:rsidRPr="008540E5">
        <w:t>Danube Strategy Point- Baden-Wurt</w:t>
      </w:r>
      <w:r w:rsidR="004D4361">
        <w:t xml:space="preserve">temberg representation Brussels – opening </w:t>
      </w:r>
      <w:r w:rsidRPr="008540E5">
        <w:t xml:space="preserve"> 8th July</w:t>
      </w:r>
      <w:r w:rsidR="004D4361">
        <w:t xml:space="preserve"> 2015</w:t>
      </w:r>
    </w:p>
    <w:p w:rsidR="00B0630D" w:rsidRDefault="00B0630D" w:rsidP="00B0630D">
      <w:pPr>
        <w:numPr>
          <w:ilvl w:val="0"/>
          <w:numId w:val="8"/>
        </w:numPr>
      </w:pPr>
      <w:r w:rsidRPr="0051070D">
        <w:t>JRC Annual event on the "Scientific Support to the Danube Strategy"</w:t>
      </w:r>
      <w:r>
        <w:t xml:space="preserve"> – 27/28 October 2015: The Annual JRC event 2015 in Ulm will take stock of the continuing JRC activities for the Danube region and will focus on the JRC expertise that supports the Commission priorities of boosting jobs and growth, building a European Energy Union and supporting the digital single market through smart specialisation in the Danube region.</w:t>
      </w:r>
      <w:bookmarkStart w:id="7" w:name="_GoBack"/>
      <w:bookmarkEnd w:id="6"/>
      <w:bookmarkEnd w:id="7"/>
    </w:p>
    <w:sectPr w:rsidR="00B0630D" w:rsidSect="00B05A98">
      <w:headerReference w:type="default" r:id="rId13"/>
      <w:footerReference w:type="default" r:id="rId14"/>
      <w:pgSz w:w="11906" w:h="16838" w:code="9"/>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FB" w:rsidRDefault="00D778FB">
      <w:r>
        <w:separator/>
      </w:r>
    </w:p>
    <w:p w:rsidR="00D778FB" w:rsidRDefault="00D778FB"/>
  </w:endnote>
  <w:endnote w:type="continuationSeparator" w:id="0">
    <w:p w:rsidR="00D778FB" w:rsidRDefault="00D778FB">
      <w:r>
        <w:continuationSeparator/>
      </w:r>
    </w:p>
    <w:p w:rsidR="00D778FB" w:rsidRDefault="00D77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9" w:type="dxa"/>
      <w:tblLook w:val="01E0" w:firstRow="1" w:lastRow="1" w:firstColumn="1" w:lastColumn="1" w:noHBand="0" w:noVBand="0"/>
    </w:tblPr>
    <w:tblGrid>
      <w:gridCol w:w="5688"/>
      <w:gridCol w:w="2871"/>
    </w:tblGrid>
    <w:tr w:rsidR="00AB2559">
      <w:tc>
        <w:tcPr>
          <w:tcW w:w="5688" w:type="dxa"/>
          <w:vMerge w:val="restart"/>
          <w:vAlign w:val="center"/>
        </w:tcPr>
        <w:p w:rsidR="00AB2559" w:rsidRPr="00042DA6" w:rsidRDefault="00AB2559" w:rsidP="00042DA6">
          <w:pPr>
            <w:pStyle w:val="Fuzeile"/>
          </w:pPr>
        </w:p>
      </w:tc>
      <w:tc>
        <w:tcPr>
          <w:tcW w:w="2871" w:type="dxa"/>
          <w:vAlign w:val="center"/>
        </w:tcPr>
        <w:p w:rsidR="00AB2559" w:rsidRPr="00042DA6" w:rsidRDefault="00AB2559" w:rsidP="00042DA6">
          <w:pPr>
            <w:pStyle w:val="Fuzeile"/>
          </w:pPr>
        </w:p>
      </w:tc>
    </w:tr>
    <w:tr w:rsidR="00AB2559">
      <w:tc>
        <w:tcPr>
          <w:tcW w:w="5688" w:type="dxa"/>
          <w:vMerge/>
          <w:vAlign w:val="center"/>
        </w:tcPr>
        <w:p w:rsidR="00AB2559" w:rsidRPr="00042DA6" w:rsidRDefault="00AB2559" w:rsidP="00042DA6">
          <w:pPr>
            <w:pStyle w:val="Fuzeile"/>
          </w:pPr>
        </w:p>
      </w:tc>
      <w:tc>
        <w:tcPr>
          <w:tcW w:w="2871" w:type="dxa"/>
          <w:vAlign w:val="center"/>
        </w:tcPr>
        <w:p w:rsidR="00AB2559" w:rsidRPr="00042DA6" w:rsidRDefault="00AB2559" w:rsidP="000611B2">
          <w:pPr>
            <w:pStyle w:val="Fuzeile"/>
          </w:pPr>
          <w:r w:rsidRPr="00042DA6">
            <w:t xml:space="preserve">Page </w:t>
          </w:r>
          <w:r w:rsidRPr="00042DA6">
            <w:rPr>
              <w:rStyle w:val="Seitenzahl"/>
            </w:rPr>
            <w:fldChar w:fldCharType="begin"/>
          </w:r>
          <w:r w:rsidRPr="00042DA6">
            <w:rPr>
              <w:rStyle w:val="Seitenzahl"/>
            </w:rPr>
            <w:instrText xml:space="preserve"> PAGE </w:instrText>
          </w:r>
          <w:r w:rsidRPr="00042DA6">
            <w:rPr>
              <w:rStyle w:val="Seitenzahl"/>
            </w:rPr>
            <w:fldChar w:fldCharType="separate"/>
          </w:r>
          <w:r w:rsidR="00517653">
            <w:rPr>
              <w:rStyle w:val="Seitenzahl"/>
              <w:noProof/>
            </w:rPr>
            <w:t>1</w:t>
          </w:r>
          <w:r w:rsidRPr="00042DA6">
            <w:rPr>
              <w:rStyle w:val="Seitenzahl"/>
            </w:rPr>
            <w:fldChar w:fldCharType="end"/>
          </w:r>
          <w:r w:rsidRPr="00042DA6">
            <w:rPr>
              <w:rStyle w:val="Seitenzahl"/>
              <w:lang w:val="en-US"/>
            </w:rPr>
            <w:t xml:space="preserve"> / </w:t>
          </w:r>
          <w:r w:rsidRPr="00042DA6">
            <w:rPr>
              <w:rStyle w:val="Seitenzahl"/>
            </w:rPr>
            <w:fldChar w:fldCharType="begin"/>
          </w:r>
          <w:r w:rsidRPr="00042DA6">
            <w:rPr>
              <w:rStyle w:val="Seitenzahl"/>
            </w:rPr>
            <w:instrText xml:space="preserve"> NUMPAGES </w:instrText>
          </w:r>
          <w:r w:rsidRPr="00042DA6">
            <w:rPr>
              <w:rStyle w:val="Seitenzahl"/>
            </w:rPr>
            <w:fldChar w:fldCharType="separate"/>
          </w:r>
          <w:r w:rsidR="00517653">
            <w:rPr>
              <w:rStyle w:val="Seitenzahl"/>
              <w:noProof/>
            </w:rPr>
            <w:t>12</w:t>
          </w:r>
          <w:r w:rsidRPr="00042DA6">
            <w:rPr>
              <w:rStyle w:val="Seitenzahl"/>
            </w:rPr>
            <w:fldChar w:fldCharType="end"/>
          </w:r>
        </w:p>
      </w:tc>
    </w:tr>
  </w:tbl>
  <w:p w:rsidR="00AB2559" w:rsidRDefault="00AB25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FB" w:rsidRDefault="00D778FB">
      <w:r>
        <w:separator/>
      </w:r>
    </w:p>
    <w:p w:rsidR="00D778FB" w:rsidRDefault="00D778FB"/>
  </w:footnote>
  <w:footnote w:type="continuationSeparator" w:id="0">
    <w:p w:rsidR="00D778FB" w:rsidRDefault="00D778FB">
      <w:r>
        <w:continuationSeparator/>
      </w:r>
    </w:p>
    <w:p w:rsidR="00D778FB" w:rsidRDefault="00D778FB"/>
  </w:footnote>
  <w:footnote w:id="1">
    <w:p w:rsidR="00AB2559" w:rsidRPr="00944A49" w:rsidRDefault="00AB2559" w:rsidP="00B05A98">
      <w:pPr>
        <w:pStyle w:val="Funotentext"/>
      </w:pPr>
      <w:r>
        <w:rPr>
          <w:rStyle w:val="Funotenzeichen"/>
        </w:rPr>
        <w:footnoteRef/>
      </w:r>
      <w:r>
        <w:t xml:space="preserve"> The progress reports are collected in preparation of the meetings of the Steering Platform on Research for the Western Balkan Countries. </w:t>
      </w:r>
      <w:r w:rsidR="00276BA2">
        <w:t>P</w:t>
      </w:r>
      <w:r>
        <w:t xml:space="preserve">lease submit your report to </w:t>
      </w:r>
      <w:r w:rsidR="00276BA2">
        <w:t>office@danube-inco.net</w:t>
      </w:r>
      <w:r>
        <w:t xml:space="preserve"> </w:t>
      </w:r>
      <w:r w:rsidRPr="00276BA2">
        <w:rPr>
          <w:b/>
          <w:u w:val="single"/>
        </w:rPr>
        <w:t xml:space="preserve">until June </w:t>
      </w:r>
      <w:r w:rsidR="00276BA2" w:rsidRPr="00276BA2">
        <w:rPr>
          <w:b/>
          <w:u w:val="single"/>
        </w:rPr>
        <w:t>1</w:t>
      </w:r>
      <w:r w:rsidRPr="00276BA2">
        <w:rPr>
          <w:b/>
          <w:u w:val="single"/>
        </w:rPr>
        <w:t>, 201</w:t>
      </w:r>
      <w:r w:rsidR="00276BA2" w:rsidRPr="00276BA2">
        <w:rPr>
          <w:b/>
          <w:u w:val="single"/>
        </w:rPr>
        <w:t>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59" w:rsidRDefault="00AB2559" w:rsidP="0069242A">
    <w:pPr>
      <w:jc w:val="right"/>
      <w:rPr>
        <w:sz w:val="20"/>
        <w:szCs w:val="20"/>
      </w:rPr>
    </w:pPr>
  </w:p>
  <w:p w:rsidR="00AB2559" w:rsidRPr="0069242A" w:rsidRDefault="00AB2559" w:rsidP="0069242A">
    <w:pP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A97"/>
    <w:multiLevelType w:val="hybridMultilevel"/>
    <w:tmpl w:val="D75C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491155"/>
    <w:multiLevelType w:val="multilevel"/>
    <w:tmpl w:val="98FC9A2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nsid w:val="547E31B7"/>
    <w:multiLevelType w:val="hybridMultilevel"/>
    <w:tmpl w:val="5030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BD0BEC"/>
    <w:multiLevelType w:val="singleLevel"/>
    <w:tmpl w:val="72D6F376"/>
    <w:lvl w:ilvl="0">
      <w:start w:val="1"/>
      <w:numFmt w:val="bullet"/>
      <w:pStyle w:val="Aufzhlungszeichen"/>
      <w:lvlText w:val=""/>
      <w:lvlJc w:val="left"/>
      <w:pPr>
        <w:tabs>
          <w:tab w:val="num" w:pos="283"/>
        </w:tabs>
        <w:ind w:left="283" w:hanging="283"/>
      </w:pPr>
      <w:rPr>
        <w:rFonts w:ascii="Symbol" w:hAnsi="Symbol"/>
      </w:rPr>
    </w:lvl>
  </w:abstractNum>
  <w:abstractNum w:abstractNumId="4">
    <w:nsid w:val="56182132"/>
    <w:multiLevelType w:val="hybridMultilevel"/>
    <w:tmpl w:val="3CEEC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574C8C"/>
    <w:multiLevelType w:val="hybridMultilevel"/>
    <w:tmpl w:val="5DF855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1"/>
  </w:num>
  <w:num w:numId="4">
    <w:abstractNumId w:val="1"/>
  </w:num>
  <w:num w:numId="5">
    <w:abstractNumId w:val="4"/>
  </w:num>
  <w:num w:numId="6">
    <w:abstractNumId w:val="1"/>
  </w:num>
  <w:num w:numId="7">
    <w:abstractNumId w:val="2"/>
  </w:num>
  <w:num w:numId="8">
    <w:abstractNumId w:val="0"/>
  </w:num>
  <w:num w:numId="9">
    <w:abstractNumId w:val="5"/>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2452C"/>
    <w:rsid w:val="00012D48"/>
    <w:rsid w:val="00026388"/>
    <w:rsid w:val="0003133A"/>
    <w:rsid w:val="00034B28"/>
    <w:rsid w:val="000353BC"/>
    <w:rsid w:val="00042DA6"/>
    <w:rsid w:val="000549D7"/>
    <w:rsid w:val="000611B2"/>
    <w:rsid w:val="000637D9"/>
    <w:rsid w:val="00065DD5"/>
    <w:rsid w:val="00070584"/>
    <w:rsid w:val="00076731"/>
    <w:rsid w:val="000818DC"/>
    <w:rsid w:val="00087C11"/>
    <w:rsid w:val="000B20ED"/>
    <w:rsid w:val="000C2797"/>
    <w:rsid w:val="000D64EF"/>
    <w:rsid w:val="000E3818"/>
    <w:rsid w:val="000F1D49"/>
    <w:rsid w:val="00104AB8"/>
    <w:rsid w:val="001128C6"/>
    <w:rsid w:val="00114920"/>
    <w:rsid w:val="0013430D"/>
    <w:rsid w:val="00134F48"/>
    <w:rsid w:val="00136957"/>
    <w:rsid w:val="0015222B"/>
    <w:rsid w:val="00152DCC"/>
    <w:rsid w:val="00172A3C"/>
    <w:rsid w:val="001856C3"/>
    <w:rsid w:val="001875C7"/>
    <w:rsid w:val="0019054C"/>
    <w:rsid w:val="001947FC"/>
    <w:rsid w:val="00195192"/>
    <w:rsid w:val="001A6FC3"/>
    <w:rsid w:val="001C4C7D"/>
    <w:rsid w:val="001D77C3"/>
    <w:rsid w:val="001D7DEE"/>
    <w:rsid w:val="001E0533"/>
    <w:rsid w:val="001E6FB6"/>
    <w:rsid w:val="0021164E"/>
    <w:rsid w:val="00226FFA"/>
    <w:rsid w:val="00233FF2"/>
    <w:rsid w:val="00236330"/>
    <w:rsid w:val="00236F87"/>
    <w:rsid w:val="00237473"/>
    <w:rsid w:val="00263D24"/>
    <w:rsid w:val="00264668"/>
    <w:rsid w:val="00264DC8"/>
    <w:rsid w:val="002761E5"/>
    <w:rsid w:val="00276BA2"/>
    <w:rsid w:val="002774AF"/>
    <w:rsid w:val="0029256F"/>
    <w:rsid w:val="0029584D"/>
    <w:rsid w:val="002A062C"/>
    <w:rsid w:val="002A30D6"/>
    <w:rsid w:val="002E1E27"/>
    <w:rsid w:val="002F4A27"/>
    <w:rsid w:val="002F670A"/>
    <w:rsid w:val="00304E9E"/>
    <w:rsid w:val="00326F67"/>
    <w:rsid w:val="00331D7D"/>
    <w:rsid w:val="00336D40"/>
    <w:rsid w:val="00342E2F"/>
    <w:rsid w:val="0035415E"/>
    <w:rsid w:val="00354CE4"/>
    <w:rsid w:val="00356F82"/>
    <w:rsid w:val="00373993"/>
    <w:rsid w:val="00392AF4"/>
    <w:rsid w:val="00393AF0"/>
    <w:rsid w:val="003A26BD"/>
    <w:rsid w:val="003A69A8"/>
    <w:rsid w:val="003B44D7"/>
    <w:rsid w:val="003C1718"/>
    <w:rsid w:val="003D1427"/>
    <w:rsid w:val="003F5D7D"/>
    <w:rsid w:val="0041095B"/>
    <w:rsid w:val="004169BE"/>
    <w:rsid w:val="004561A7"/>
    <w:rsid w:val="00456A08"/>
    <w:rsid w:val="00470F93"/>
    <w:rsid w:val="00484E21"/>
    <w:rsid w:val="0048700C"/>
    <w:rsid w:val="004911E1"/>
    <w:rsid w:val="00494BA7"/>
    <w:rsid w:val="004B081B"/>
    <w:rsid w:val="004D4361"/>
    <w:rsid w:val="004E6E41"/>
    <w:rsid w:val="005074AD"/>
    <w:rsid w:val="00507FAC"/>
    <w:rsid w:val="00517653"/>
    <w:rsid w:val="00534E9F"/>
    <w:rsid w:val="00536D93"/>
    <w:rsid w:val="005669D5"/>
    <w:rsid w:val="00575FFB"/>
    <w:rsid w:val="00590E71"/>
    <w:rsid w:val="00596737"/>
    <w:rsid w:val="005A07BB"/>
    <w:rsid w:val="005B3616"/>
    <w:rsid w:val="005C08CE"/>
    <w:rsid w:val="005C4E78"/>
    <w:rsid w:val="005D6CA6"/>
    <w:rsid w:val="005D7D66"/>
    <w:rsid w:val="005E0BB9"/>
    <w:rsid w:val="005E3FF2"/>
    <w:rsid w:val="005F4234"/>
    <w:rsid w:val="005F4A12"/>
    <w:rsid w:val="00604C16"/>
    <w:rsid w:val="00610166"/>
    <w:rsid w:val="00615429"/>
    <w:rsid w:val="00640BAD"/>
    <w:rsid w:val="006472EE"/>
    <w:rsid w:val="00653BBB"/>
    <w:rsid w:val="00656E34"/>
    <w:rsid w:val="0066037C"/>
    <w:rsid w:val="00670E48"/>
    <w:rsid w:val="00675FE4"/>
    <w:rsid w:val="006800CB"/>
    <w:rsid w:val="006812D7"/>
    <w:rsid w:val="0068751B"/>
    <w:rsid w:val="0069240A"/>
    <w:rsid w:val="0069242A"/>
    <w:rsid w:val="006944FC"/>
    <w:rsid w:val="0069696F"/>
    <w:rsid w:val="006A6DAA"/>
    <w:rsid w:val="006A77EC"/>
    <w:rsid w:val="006C1FCE"/>
    <w:rsid w:val="006D2D53"/>
    <w:rsid w:val="006F4886"/>
    <w:rsid w:val="006F59E5"/>
    <w:rsid w:val="006F7FC0"/>
    <w:rsid w:val="007139FF"/>
    <w:rsid w:val="00714238"/>
    <w:rsid w:val="00742B04"/>
    <w:rsid w:val="007444DC"/>
    <w:rsid w:val="00746DA0"/>
    <w:rsid w:val="00747D79"/>
    <w:rsid w:val="00754692"/>
    <w:rsid w:val="00762294"/>
    <w:rsid w:val="00794A08"/>
    <w:rsid w:val="007E0666"/>
    <w:rsid w:val="007E1ACD"/>
    <w:rsid w:val="007E61DC"/>
    <w:rsid w:val="007F34F2"/>
    <w:rsid w:val="00804F01"/>
    <w:rsid w:val="00824F19"/>
    <w:rsid w:val="00827554"/>
    <w:rsid w:val="00833211"/>
    <w:rsid w:val="00851E10"/>
    <w:rsid w:val="008528F1"/>
    <w:rsid w:val="008540E5"/>
    <w:rsid w:val="00866EBD"/>
    <w:rsid w:val="008703AC"/>
    <w:rsid w:val="00880C7A"/>
    <w:rsid w:val="008C36A5"/>
    <w:rsid w:val="008D2418"/>
    <w:rsid w:val="008D6997"/>
    <w:rsid w:val="008D74D9"/>
    <w:rsid w:val="008E5A97"/>
    <w:rsid w:val="00903123"/>
    <w:rsid w:val="009232F8"/>
    <w:rsid w:val="00944A49"/>
    <w:rsid w:val="00945C4F"/>
    <w:rsid w:val="00951C64"/>
    <w:rsid w:val="00953B1E"/>
    <w:rsid w:val="00956664"/>
    <w:rsid w:val="0097137D"/>
    <w:rsid w:val="009744F8"/>
    <w:rsid w:val="00984B17"/>
    <w:rsid w:val="009B4304"/>
    <w:rsid w:val="009C19CC"/>
    <w:rsid w:val="009D0DB3"/>
    <w:rsid w:val="00A04104"/>
    <w:rsid w:val="00A059C1"/>
    <w:rsid w:val="00A06C5E"/>
    <w:rsid w:val="00A124E2"/>
    <w:rsid w:val="00A1383C"/>
    <w:rsid w:val="00A17E44"/>
    <w:rsid w:val="00A3499A"/>
    <w:rsid w:val="00A353FA"/>
    <w:rsid w:val="00A36FBA"/>
    <w:rsid w:val="00A37DA9"/>
    <w:rsid w:val="00A52DF3"/>
    <w:rsid w:val="00A63AC1"/>
    <w:rsid w:val="00A70480"/>
    <w:rsid w:val="00A8013F"/>
    <w:rsid w:val="00A93175"/>
    <w:rsid w:val="00A95979"/>
    <w:rsid w:val="00AA3D9E"/>
    <w:rsid w:val="00AB2559"/>
    <w:rsid w:val="00AB3B84"/>
    <w:rsid w:val="00AB3F9B"/>
    <w:rsid w:val="00AB439F"/>
    <w:rsid w:val="00AB7F52"/>
    <w:rsid w:val="00AE3E4A"/>
    <w:rsid w:val="00AE4B58"/>
    <w:rsid w:val="00AF1621"/>
    <w:rsid w:val="00B009CE"/>
    <w:rsid w:val="00B05A98"/>
    <w:rsid w:val="00B0630D"/>
    <w:rsid w:val="00B1566F"/>
    <w:rsid w:val="00B23F37"/>
    <w:rsid w:val="00B2452C"/>
    <w:rsid w:val="00B31487"/>
    <w:rsid w:val="00B53BB8"/>
    <w:rsid w:val="00B57519"/>
    <w:rsid w:val="00B72E2A"/>
    <w:rsid w:val="00B77F1F"/>
    <w:rsid w:val="00B806AB"/>
    <w:rsid w:val="00B96EE2"/>
    <w:rsid w:val="00B973E9"/>
    <w:rsid w:val="00BA0435"/>
    <w:rsid w:val="00BB725C"/>
    <w:rsid w:val="00BC493A"/>
    <w:rsid w:val="00C1594D"/>
    <w:rsid w:val="00C17D44"/>
    <w:rsid w:val="00C22C53"/>
    <w:rsid w:val="00C25F58"/>
    <w:rsid w:val="00C260A4"/>
    <w:rsid w:val="00C4113C"/>
    <w:rsid w:val="00C57785"/>
    <w:rsid w:val="00C7291A"/>
    <w:rsid w:val="00C81F97"/>
    <w:rsid w:val="00C84223"/>
    <w:rsid w:val="00C84457"/>
    <w:rsid w:val="00C850C0"/>
    <w:rsid w:val="00C90889"/>
    <w:rsid w:val="00C9092E"/>
    <w:rsid w:val="00CB310B"/>
    <w:rsid w:val="00CB7AC1"/>
    <w:rsid w:val="00CC1C76"/>
    <w:rsid w:val="00CC379D"/>
    <w:rsid w:val="00CD670B"/>
    <w:rsid w:val="00CE2E09"/>
    <w:rsid w:val="00CE3287"/>
    <w:rsid w:val="00CF1E95"/>
    <w:rsid w:val="00CF58FD"/>
    <w:rsid w:val="00D030B0"/>
    <w:rsid w:val="00D04044"/>
    <w:rsid w:val="00D058B8"/>
    <w:rsid w:val="00D131D3"/>
    <w:rsid w:val="00D2151D"/>
    <w:rsid w:val="00D26E5D"/>
    <w:rsid w:val="00D33A4B"/>
    <w:rsid w:val="00D36B53"/>
    <w:rsid w:val="00D4140B"/>
    <w:rsid w:val="00D71D5A"/>
    <w:rsid w:val="00D746B3"/>
    <w:rsid w:val="00D76144"/>
    <w:rsid w:val="00D778FB"/>
    <w:rsid w:val="00D83134"/>
    <w:rsid w:val="00D83906"/>
    <w:rsid w:val="00D849D9"/>
    <w:rsid w:val="00DA2E71"/>
    <w:rsid w:val="00DA3B97"/>
    <w:rsid w:val="00DA4993"/>
    <w:rsid w:val="00DB32D7"/>
    <w:rsid w:val="00DF0E9F"/>
    <w:rsid w:val="00DF720F"/>
    <w:rsid w:val="00E1213F"/>
    <w:rsid w:val="00E33E17"/>
    <w:rsid w:val="00E35B23"/>
    <w:rsid w:val="00E3748C"/>
    <w:rsid w:val="00E42FEE"/>
    <w:rsid w:val="00E56122"/>
    <w:rsid w:val="00E766CE"/>
    <w:rsid w:val="00E777E5"/>
    <w:rsid w:val="00E85502"/>
    <w:rsid w:val="00E9553B"/>
    <w:rsid w:val="00EB4785"/>
    <w:rsid w:val="00ED2231"/>
    <w:rsid w:val="00EE2F69"/>
    <w:rsid w:val="00EF70C5"/>
    <w:rsid w:val="00EF7288"/>
    <w:rsid w:val="00F07928"/>
    <w:rsid w:val="00F07C78"/>
    <w:rsid w:val="00F10DE6"/>
    <w:rsid w:val="00F11727"/>
    <w:rsid w:val="00F35A2D"/>
    <w:rsid w:val="00F661A7"/>
    <w:rsid w:val="00F75EC7"/>
    <w:rsid w:val="00F77239"/>
    <w:rsid w:val="00F933C8"/>
    <w:rsid w:val="00FB134B"/>
    <w:rsid w:val="00FB1A6F"/>
    <w:rsid w:val="00FB528C"/>
    <w:rsid w:val="00FC2384"/>
    <w:rsid w:val="00FC371F"/>
    <w:rsid w:val="00FE4B8F"/>
    <w:rsid w:val="00FF2BA2"/>
    <w:rsid w:val="00FF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eastAsia="el-GR"/>
    </w:rPr>
  </w:style>
  <w:style w:type="paragraph" w:styleId="berschrift1">
    <w:name w:val="heading 1"/>
    <w:basedOn w:val="Standard"/>
    <w:next w:val="Standard"/>
    <w:link w:val="berschrift1Zchn"/>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paragraph" w:styleId="Aufzhlungszeichen">
    <w:name w:val="List Bullet"/>
    <w:basedOn w:val="Standard"/>
    <w:rsid w:val="00D26E5D"/>
    <w:pPr>
      <w:numPr>
        <w:numId w:val="2"/>
      </w:numPr>
      <w:spacing w:after="240"/>
      <w:jc w:val="both"/>
    </w:pPr>
    <w:rPr>
      <w:rFonts w:ascii="Times New Roman" w:hAnsi="Times New Roman"/>
      <w:sz w:val="24"/>
      <w:szCs w:val="20"/>
      <w:lang w:eastAsia="en-US"/>
    </w:rPr>
  </w:style>
  <w:style w:type="paragraph" w:customStyle="1" w:styleId="Text1">
    <w:name w:val="Text 1"/>
    <w:basedOn w:val="Standard"/>
    <w:rsid w:val="00026388"/>
    <w:pPr>
      <w:spacing w:after="240"/>
      <w:ind w:left="482"/>
      <w:jc w:val="both"/>
    </w:pPr>
    <w:rPr>
      <w:rFonts w:ascii="Times New Roman" w:hAnsi="Times New Roman"/>
      <w:sz w:val="24"/>
      <w:szCs w:val="20"/>
      <w:lang w:eastAsia="en-US"/>
    </w:rPr>
  </w:style>
  <w:style w:type="character" w:customStyle="1" w:styleId="berschrift1Zchn">
    <w:name w:val="Überschrift 1 Zchn"/>
    <w:link w:val="berschrift1"/>
    <w:rsid w:val="004911E1"/>
    <w:rPr>
      <w:rFonts w:ascii="Arial" w:hAnsi="Arial" w:cs="Arial"/>
      <w:b/>
      <w:bCs/>
      <w:kern w:val="32"/>
      <w:sz w:val="32"/>
      <w:szCs w:val="32"/>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1C64"/>
    <w:pPr>
      <w:spacing w:after="120"/>
    </w:pPr>
    <w:rPr>
      <w:rFonts w:ascii="Arial" w:hAnsi="Arial"/>
      <w:sz w:val="22"/>
      <w:szCs w:val="24"/>
      <w:lang w:eastAsia="el-GR"/>
    </w:rPr>
  </w:style>
  <w:style w:type="paragraph" w:styleId="berschrift1">
    <w:name w:val="heading 1"/>
    <w:basedOn w:val="Standard"/>
    <w:next w:val="Standard"/>
    <w:link w:val="berschrift1Zchn"/>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paragraph" w:styleId="Aufzhlungszeichen">
    <w:name w:val="List Bullet"/>
    <w:basedOn w:val="Standard"/>
    <w:rsid w:val="00D26E5D"/>
    <w:pPr>
      <w:numPr>
        <w:numId w:val="2"/>
      </w:numPr>
      <w:spacing w:after="240"/>
      <w:jc w:val="both"/>
    </w:pPr>
    <w:rPr>
      <w:rFonts w:ascii="Times New Roman" w:hAnsi="Times New Roman"/>
      <w:sz w:val="24"/>
      <w:szCs w:val="20"/>
      <w:lang w:eastAsia="en-US"/>
    </w:rPr>
  </w:style>
  <w:style w:type="paragraph" w:customStyle="1" w:styleId="Text1">
    <w:name w:val="Text 1"/>
    <w:basedOn w:val="Standard"/>
    <w:rsid w:val="00026388"/>
    <w:pPr>
      <w:spacing w:after="240"/>
      <w:ind w:left="482"/>
      <w:jc w:val="both"/>
    </w:pPr>
    <w:rPr>
      <w:rFonts w:ascii="Times New Roman" w:hAnsi="Times New Roman"/>
      <w:sz w:val="24"/>
      <w:szCs w:val="20"/>
      <w:lang w:eastAsia="en-US"/>
    </w:rPr>
  </w:style>
  <w:style w:type="character" w:customStyle="1" w:styleId="berschrift1Zchn">
    <w:name w:val="Überschrift 1 Zchn"/>
    <w:link w:val="berschrift1"/>
    <w:rsid w:val="004911E1"/>
    <w:rPr>
      <w:rFonts w:ascii="Arial" w:hAnsi="Arial" w:cs="Arial"/>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3"/>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jrc\jrc.a\jrc.a.5\4.Countries\ENLARGEMENT\E&amp;IA%202014\Reports%202014\General%20table%20report%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jrc\jrc.a\jrc.a.5\4.Countries\ENLARGEMENT\E&amp;IA%202014\Reports%202014\General%20table%20report%20201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net1.cec.eu.int\jrc\jrc.a\jrc.a.5\4.Countries\ENLARGEMENT\E&amp;IA%202014\Reports%202014\General%20table%20report%20201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net1.cec.eu.int\jrc\jrc.a\jrc.a.5\4.Countries\ENLARGEMENT\E&amp;IA%202014\Reports%202014\General%20table%20report%202014.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0"/>
            <c:invertIfNegative val="0"/>
            <c:bubble3D val="0"/>
            <c:spPr>
              <a:solidFill>
                <a:srgbClr val="C00000"/>
              </a:solidFill>
            </c:spPr>
          </c:dPt>
          <c:dPt>
            <c:idx val="1"/>
            <c:invertIfNegative val="0"/>
            <c:bubble3D val="0"/>
            <c:spPr>
              <a:solidFill>
                <a:srgbClr val="FFC000"/>
              </a:solidFill>
            </c:spPr>
          </c:dPt>
          <c:dPt>
            <c:idx val="2"/>
            <c:invertIfNegative val="0"/>
            <c:bubble3D val="0"/>
            <c:spPr>
              <a:solidFill>
                <a:srgbClr val="00B0F0"/>
              </a:solidFill>
            </c:spPr>
          </c:dPt>
          <c:dPt>
            <c:idx val="3"/>
            <c:invertIfNegative val="0"/>
            <c:bubble3D val="0"/>
            <c:spPr>
              <a:solidFill>
                <a:srgbClr val="FF0000"/>
              </a:solidFill>
            </c:spPr>
          </c:dPt>
          <c:dPt>
            <c:idx val="4"/>
            <c:invertIfNegative val="0"/>
            <c:bubble3D val="0"/>
            <c:spPr>
              <a:solidFill>
                <a:schemeClr val="accent3"/>
              </a:solidFill>
            </c:spPr>
          </c:dPt>
          <c:dPt>
            <c:idx val="5"/>
            <c:invertIfNegative val="0"/>
            <c:bubble3D val="0"/>
            <c:spPr>
              <a:solidFill>
                <a:schemeClr val="accent4">
                  <a:lumMod val="75000"/>
                </a:schemeClr>
              </a:solidFill>
            </c:spPr>
          </c:dPt>
          <c:dPt>
            <c:idx val="6"/>
            <c:invertIfNegative val="0"/>
            <c:bubble3D val="0"/>
            <c:spPr>
              <a:solidFill>
                <a:schemeClr val="bg2">
                  <a:lumMod val="50000"/>
                </a:schemeClr>
              </a:solidFill>
            </c:spPr>
          </c:dPt>
          <c:cat>
            <c:strRef>
              <c:f>Graphics!$A$2:$A$9</c:f>
              <c:strCache>
                <c:ptCount val="8"/>
                <c:pt idx="0">
                  <c:v>HQ</c:v>
                </c:pt>
                <c:pt idx="1">
                  <c:v>IES</c:v>
                </c:pt>
                <c:pt idx="2">
                  <c:v>IET</c:v>
                </c:pt>
                <c:pt idx="3">
                  <c:v>IHCP</c:v>
                </c:pt>
                <c:pt idx="4">
                  <c:v>IPSC</c:v>
                </c:pt>
                <c:pt idx="5">
                  <c:v>IRMM</c:v>
                </c:pt>
                <c:pt idx="6">
                  <c:v>IPTS</c:v>
                </c:pt>
                <c:pt idx="7">
                  <c:v>ITU</c:v>
                </c:pt>
              </c:strCache>
            </c:strRef>
          </c:cat>
          <c:val>
            <c:numRef>
              <c:f>Graphics!$B$2:$B$9</c:f>
              <c:numCache>
                <c:formatCode>General</c:formatCode>
                <c:ptCount val="8"/>
                <c:pt idx="0">
                  <c:v>2</c:v>
                </c:pt>
                <c:pt idx="1">
                  <c:v>12</c:v>
                </c:pt>
                <c:pt idx="2">
                  <c:v>8</c:v>
                </c:pt>
                <c:pt idx="3">
                  <c:v>6</c:v>
                </c:pt>
                <c:pt idx="4">
                  <c:v>2</c:v>
                </c:pt>
                <c:pt idx="5">
                  <c:v>4</c:v>
                </c:pt>
                <c:pt idx="6">
                  <c:v>1</c:v>
                </c:pt>
                <c:pt idx="7">
                  <c:v>6</c:v>
                </c:pt>
              </c:numCache>
            </c:numRef>
          </c:val>
        </c:ser>
        <c:dLbls>
          <c:showLegendKey val="0"/>
          <c:showVal val="0"/>
          <c:showCatName val="0"/>
          <c:showSerName val="0"/>
          <c:showPercent val="0"/>
          <c:showBubbleSize val="0"/>
        </c:dLbls>
        <c:gapWidth val="150"/>
        <c:axId val="171326080"/>
        <c:axId val="171333504"/>
      </c:barChart>
      <c:catAx>
        <c:axId val="171326080"/>
        <c:scaling>
          <c:orientation val="minMax"/>
        </c:scaling>
        <c:delete val="0"/>
        <c:axPos val="b"/>
        <c:majorTickMark val="out"/>
        <c:minorTickMark val="none"/>
        <c:tickLblPos val="nextTo"/>
        <c:crossAx val="171333504"/>
        <c:crosses val="autoZero"/>
        <c:auto val="1"/>
        <c:lblAlgn val="ctr"/>
        <c:lblOffset val="100"/>
        <c:noMultiLvlLbl val="0"/>
      </c:catAx>
      <c:valAx>
        <c:axId val="171333504"/>
        <c:scaling>
          <c:orientation val="minMax"/>
        </c:scaling>
        <c:delete val="0"/>
        <c:axPos val="l"/>
        <c:majorGridlines/>
        <c:numFmt formatCode="General" sourceLinked="1"/>
        <c:majorTickMark val="out"/>
        <c:minorTickMark val="none"/>
        <c:tickLblPos val="nextTo"/>
        <c:crossAx val="17132608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Graphics!$D$2:$D$9</c:f>
              <c:strCache>
                <c:ptCount val="8"/>
                <c:pt idx="0">
                  <c:v>Environment</c:v>
                </c:pt>
                <c:pt idx="1">
                  <c:v>Agriculture</c:v>
                </c:pt>
                <c:pt idx="2">
                  <c:v>Innovation</c:v>
                </c:pt>
                <c:pt idx="3">
                  <c:v>Infrastructures</c:v>
                </c:pt>
                <c:pt idx="4">
                  <c:v>Energy</c:v>
                </c:pt>
                <c:pt idx="5">
                  <c:v>Standardisation</c:v>
                </c:pt>
                <c:pt idx="6">
                  <c:v>Health</c:v>
                </c:pt>
                <c:pt idx="7">
                  <c:v>Nuclear</c:v>
                </c:pt>
              </c:strCache>
            </c:strRef>
          </c:cat>
          <c:val>
            <c:numRef>
              <c:f>Graphics!$E$2:$E$9</c:f>
              <c:numCache>
                <c:formatCode>General</c:formatCode>
                <c:ptCount val="8"/>
                <c:pt idx="0">
                  <c:v>3</c:v>
                </c:pt>
                <c:pt idx="1">
                  <c:v>6</c:v>
                </c:pt>
                <c:pt idx="2">
                  <c:v>2</c:v>
                </c:pt>
                <c:pt idx="3">
                  <c:v>5</c:v>
                </c:pt>
                <c:pt idx="4">
                  <c:v>5</c:v>
                </c:pt>
                <c:pt idx="5">
                  <c:v>5</c:v>
                </c:pt>
                <c:pt idx="6">
                  <c:v>8</c:v>
                </c:pt>
                <c:pt idx="7">
                  <c:v>7</c:v>
                </c:pt>
              </c:numCache>
            </c:numRef>
          </c:val>
        </c:ser>
        <c:dLbls>
          <c:showLegendKey val="0"/>
          <c:showVal val="0"/>
          <c:showCatName val="0"/>
          <c:showSerName val="0"/>
          <c:showPercent val="0"/>
          <c:showBubbleSize val="0"/>
        </c:dLbls>
        <c:gapWidth val="150"/>
        <c:shape val="cylinder"/>
        <c:axId val="125689216"/>
        <c:axId val="136279168"/>
        <c:axId val="0"/>
      </c:bar3DChart>
      <c:catAx>
        <c:axId val="125689216"/>
        <c:scaling>
          <c:orientation val="minMax"/>
        </c:scaling>
        <c:delete val="0"/>
        <c:axPos val="b"/>
        <c:majorTickMark val="out"/>
        <c:minorTickMark val="none"/>
        <c:tickLblPos val="nextTo"/>
        <c:crossAx val="136279168"/>
        <c:crosses val="autoZero"/>
        <c:auto val="1"/>
        <c:lblAlgn val="ctr"/>
        <c:lblOffset val="100"/>
        <c:noMultiLvlLbl val="0"/>
      </c:catAx>
      <c:valAx>
        <c:axId val="136279168"/>
        <c:scaling>
          <c:orientation val="minMax"/>
        </c:scaling>
        <c:delete val="0"/>
        <c:axPos val="l"/>
        <c:majorGridlines/>
        <c:numFmt formatCode="General" sourceLinked="1"/>
        <c:majorTickMark val="out"/>
        <c:minorTickMark val="none"/>
        <c:tickLblPos val="nextTo"/>
        <c:crossAx val="12568921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11"/>
          <c:dLbls>
            <c:txPr>
              <a:bodyPr/>
              <a:lstStyle/>
              <a:p>
                <a:pPr>
                  <a:defRPr sz="1200" b="1"/>
                </a:pPr>
                <a:endParaRPr lang="en-US"/>
              </a:p>
            </c:txPr>
            <c:showLegendKey val="0"/>
            <c:showVal val="1"/>
            <c:showCatName val="1"/>
            <c:showSerName val="0"/>
            <c:showPercent val="0"/>
            <c:showBubbleSize val="0"/>
            <c:showLeaderLines val="1"/>
          </c:dLbls>
          <c:cat>
            <c:strRef>
              <c:f>Graphics!$H$2:$H$6</c:f>
              <c:strCache>
                <c:ptCount val="5"/>
                <c:pt idx="0">
                  <c:v>New Member State</c:v>
                </c:pt>
                <c:pt idx="1">
                  <c:v>Enlargement  Associated countries</c:v>
                </c:pt>
                <c:pt idx="2">
                  <c:v>ENP countries</c:v>
                </c:pt>
                <c:pt idx="3">
                  <c:v>JRC Institutes</c:v>
                </c:pt>
                <c:pt idx="4">
                  <c:v>Other</c:v>
                </c:pt>
              </c:strCache>
            </c:strRef>
          </c:cat>
          <c:val>
            <c:numRef>
              <c:f>Graphics!$I$2:$I$6</c:f>
              <c:numCache>
                <c:formatCode>General</c:formatCode>
                <c:ptCount val="5"/>
                <c:pt idx="0">
                  <c:v>4</c:v>
                </c:pt>
                <c:pt idx="1">
                  <c:v>12</c:v>
                </c:pt>
                <c:pt idx="2">
                  <c:v>3</c:v>
                </c:pt>
                <c:pt idx="3">
                  <c:v>13</c:v>
                </c:pt>
                <c:pt idx="4">
                  <c:v>9</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Graphics!$A$50:$A$76</c:f>
              <c:strCache>
                <c:ptCount val="27"/>
                <c:pt idx="0">
                  <c:v>AL</c:v>
                </c:pt>
                <c:pt idx="1">
                  <c:v>BA</c:v>
                </c:pt>
                <c:pt idx="2">
                  <c:v>ME</c:v>
                </c:pt>
                <c:pt idx="3">
                  <c:v>MK</c:v>
                </c:pt>
                <c:pt idx="4">
                  <c:v>RS</c:v>
                </c:pt>
                <c:pt idx="5">
                  <c:v>HR</c:v>
                </c:pt>
                <c:pt idx="6">
                  <c:v>IS</c:v>
                </c:pt>
                <c:pt idx="7">
                  <c:v>TR</c:v>
                </c:pt>
                <c:pt idx="8">
                  <c:v>XK</c:v>
                </c:pt>
                <c:pt idx="9">
                  <c:v>IL</c:v>
                </c:pt>
                <c:pt idx="10">
                  <c:v>PS</c:v>
                </c:pt>
                <c:pt idx="11">
                  <c:v>MD</c:v>
                </c:pt>
                <c:pt idx="12">
                  <c:v>NO</c:v>
                </c:pt>
                <c:pt idx="13">
                  <c:v>CH</c:v>
                </c:pt>
                <c:pt idx="14">
                  <c:v>UA</c:v>
                </c:pt>
                <c:pt idx="15">
                  <c:v>BY</c:v>
                </c:pt>
                <c:pt idx="16">
                  <c:v>RU</c:v>
                </c:pt>
                <c:pt idx="17">
                  <c:v>DZ</c:v>
                </c:pt>
                <c:pt idx="18">
                  <c:v>MA</c:v>
                </c:pt>
                <c:pt idx="19">
                  <c:v>JO</c:v>
                </c:pt>
                <c:pt idx="20">
                  <c:v>LY</c:v>
                </c:pt>
                <c:pt idx="21">
                  <c:v>TN</c:v>
                </c:pt>
                <c:pt idx="22">
                  <c:v>EG</c:v>
                </c:pt>
                <c:pt idx="23">
                  <c:v>AM</c:v>
                </c:pt>
                <c:pt idx="24">
                  <c:v>GE</c:v>
                </c:pt>
                <c:pt idx="25">
                  <c:v>AZ</c:v>
                </c:pt>
                <c:pt idx="26">
                  <c:v>LB</c:v>
                </c:pt>
              </c:strCache>
            </c:strRef>
          </c:cat>
          <c:val>
            <c:numRef>
              <c:f>Graphics!$B$50:$B$76</c:f>
              <c:numCache>
                <c:formatCode>General</c:formatCode>
                <c:ptCount val="27"/>
                <c:pt idx="0">
                  <c:v>42</c:v>
                </c:pt>
                <c:pt idx="1">
                  <c:v>22</c:v>
                </c:pt>
                <c:pt idx="2">
                  <c:v>26</c:v>
                </c:pt>
                <c:pt idx="3">
                  <c:v>54</c:v>
                </c:pt>
                <c:pt idx="4">
                  <c:v>162</c:v>
                </c:pt>
                <c:pt idx="5">
                  <c:v>69</c:v>
                </c:pt>
                <c:pt idx="6">
                  <c:v>1</c:v>
                </c:pt>
                <c:pt idx="7">
                  <c:v>124</c:v>
                </c:pt>
                <c:pt idx="8">
                  <c:v>13</c:v>
                </c:pt>
                <c:pt idx="9">
                  <c:v>36</c:v>
                </c:pt>
                <c:pt idx="10">
                  <c:v>2</c:v>
                </c:pt>
                <c:pt idx="11">
                  <c:v>28</c:v>
                </c:pt>
                <c:pt idx="12">
                  <c:v>1</c:v>
                </c:pt>
                <c:pt idx="13">
                  <c:v>8</c:v>
                </c:pt>
                <c:pt idx="14">
                  <c:v>68</c:v>
                </c:pt>
                <c:pt idx="15">
                  <c:v>4</c:v>
                </c:pt>
                <c:pt idx="16">
                  <c:v>8</c:v>
                </c:pt>
                <c:pt idx="17">
                  <c:v>11</c:v>
                </c:pt>
                <c:pt idx="18">
                  <c:v>30</c:v>
                </c:pt>
                <c:pt idx="19">
                  <c:v>3</c:v>
                </c:pt>
                <c:pt idx="20">
                  <c:v>1</c:v>
                </c:pt>
                <c:pt idx="21">
                  <c:v>59</c:v>
                </c:pt>
                <c:pt idx="22">
                  <c:v>11</c:v>
                </c:pt>
                <c:pt idx="23">
                  <c:v>1</c:v>
                </c:pt>
                <c:pt idx="24">
                  <c:v>4</c:v>
                </c:pt>
                <c:pt idx="25">
                  <c:v>0</c:v>
                </c:pt>
                <c:pt idx="26">
                  <c:v>3</c:v>
                </c:pt>
              </c:numCache>
            </c:numRef>
          </c:val>
        </c:ser>
        <c:dLbls>
          <c:showLegendKey val="0"/>
          <c:showVal val="1"/>
          <c:showCatName val="0"/>
          <c:showSerName val="0"/>
          <c:showPercent val="0"/>
          <c:showBubbleSize val="0"/>
        </c:dLbls>
        <c:gapWidth val="150"/>
        <c:overlap val="-25"/>
        <c:axId val="171363328"/>
        <c:axId val="173220608"/>
      </c:barChart>
      <c:catAx>
        <c:axId val="171363328"/>
        <c:scaling>
          <c:orientation val="minMax"/>
        </c:scaling>
        <c:delete val="0"/>
        <c:axPos val="b"/>
        <c:majorTickMark val="none"/>
        <c:minorTickMark val="none"/>
        <c:tickLblPos val="nextTo"/>
        <c:crossAx val="173220608"/>
        <c:crosses val="autoZero"/>
        <c:auto val="1"/>
        <c:lblAlgn val="ctr"/>
        <c:lblOffset val="100"/>
        <c:noMultiLvlLbl val="0"/>
      </c:catAx>
      <c:valAx>
        <c:axId val="173220608"/>
        <c:scaling>
          <c:orientation val="minMax"/>
        </c:scaling>
        <c:delete val="1"/>
        <c:axPos val="l"/>
        <c:numFmt formatCode="General" sourceLinked="1"/>
        <c:majorTickMark val="none"/>
        <c:minorTickMark val="none"/>
        <c:tickLblPos val="nextTo"/>
        <c:crossAx val="17136332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96DC-A693-4F9B-B81A-D72EA7D7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3273</Words>
  <Characters>18661</Characters>
  <Application>Microsoft Office Word</Application>
  <DocSecurity>0</DocSecurity>
  <Lines>155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WBC-INCO.Net</vt:lpstr>
      <vt:lpstr>WBC-INCO.Net</vt:lpstr>
    </vt:vector>
  </TitlesOfParts>
  <Company>Zentrum für soziale Innovation</Company>
  <LinksUpToDate>false</LinksUpToDate>
  <CharactersWithSpaces>21891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WBC-INCO.Net</dc:title>
  <dc:subject>WBC Periodic Progress Report for WBC Steering Platform</dc:subject>
  <dc:creator>Buchbauer, BMWF-AT</dc:creator>
  <cp:lastModifiedBy>Ines Marinkovic</cp:lastModifiedBy>
  <cp:revision>2</cp:revision>
  <cp:lastPrinted>2008-10-16T09:51:00Z</cp:lastPrinted>
  <dcterms:created xsi:type="dcterms:W3CDTF">2015-06-06T16:30:00Z</dcterms:created>
  <dcterms:modified xsi:type="dcterms:W3CDTF">2015-06-06T16:30:00Z</dcterms:modified>
</cp:coreProperties>
</file>