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6D8B1" w14:textId="77777777" w:rsidR="005B0B37" w:rsidRPr="005B0B37" w:rsidRDefault="005B0B37" w:rsidP="006A666E">
      <w:pPr>
        <w:jc w:val="center"/>
        <w:rPr>
          <w:rFonts w:ascii="Palatino Linotype" w:hAnsi="Palatino Linotype"/>
          <w:b/>
          <w:bCs/>
          <w:color w:val="1A3468"/>
          <w:sz w:val="18"/>
          <w:szCs w:val="18"/>
          <w:lang w:val="en-GB"/>
        </w:rPr>
      </w:pPr>
      <w:bookmarkStart w:id="0" w:name="_GoBack"/>
      <w:bookmarkEnd w:id="0"/>
    </w:p>
    <w:p w14:paraId="55FB3924" w14:textId="22FDDE53" w:rsidR="00456180" w:rsidRPr="004E5686" w:rsidRDefault="00AC3612" w:rsidP="006A666E">
      <w:pPr>
        <w:jc w:val="center"/>
        <w:rPr>
          <w:rFonts w:ascii="Palatino Linotype" w:hAnsi="Palatino Linotype"/>
          <w:sz w:val="26"/>
          <w:szCs w:val="26"/>
          <w:lang w:val="en-GB"/>
        </w:rPr>
      </w:pPr>
      <w:r w:rsidRPr="004E5686">
        <w:rPr>
          <w:rFonts w:ascii="Palatino Linotype" w:hAnsi="Palatino Linotype"/>
          <w:b/>
          <w:bCs/>
          <w:color w:val="1A3468"/>
          <w:sz w:val="26"/>
          <w:szCs w:val="26"/>
          <w:lang w:val="en-GB"/>
        </w:rPr>
        <w:t xml:space="preserve">Marche Polytechnic University &amp; </w:t>
      </w:r>
      <w:r w:rsidR="00456180" w:rsidRPr="004E5686">
        <w:rPr>
          <w:rFonts w:ascii="Palatino Linotype" w:hAnsi="Palatino Linotype"/>
          <w:b/>
          <w:bCs/>
          <w:color w:val="1A3468"/>
          <w:sz w:val="26"/>
          <w:szCs w:val="26"/>
          <w:lang w:val="en-GB"/>
        </w:rPr>
        <w:t>University of Banja</w:t>
      </w:r>
      <w:r w:rsidRPr="004E5686">
        <w:rPr>
          <w:rFonts w:ascii="Palatino Linotype" w:hAnsi="Palatino Linotype"/>
          <w:b/>
          <w:bCs/>
          <w:color w:val="1A3468"/>
          <w:sz w:val="26"/>
          <w:szCs w:val="26"/>
          <w:lang w:val="en-GB"/>
        </w:rPr>
        <w:t xml:space="preserve"> L</w:t>
      </w:r>
      <w:r w:rsidR="00456180" w:rsidRPr="004E5686">
        <w:rPr>
          <w:rFonts w:ascii="Palatino Linotype" w:hAnsi="Palatino Linotype"/>
          <w:b/>
          <w:bCs/>
          <w:color w:val="1A3468"/>
          <w:sz w:val="26"/>
          <w:szCs w:val="26"/>
          <w:lang w:val="en-GB"/>
        </w:rPr>
        <w:t>uka</w:t>
      </w:r>
    </w:p>
    <w:p w14:paraId="55FB3928" w14:textId="31CCC17B" w:rsidR="00456180" w:rsidRPr="004E5686" w:rsidRDefault="00A23141" w:rsidP="006A666E">
      <w:pPr>
        <w:jc w:val="center"/>
        <w:rPr>
          <w:rFonts w:ascii="Palatino Linotype" w:hAnsi="Palatino Linotype"/>
          <w:sz w:val="26"/>
          <w:szCs w:val="26"/>
          <w:lang w:val="en-GB"/>
        </w:rPr>
      </w:pPr>
      <w:r w:rsidRPr="004E5686">
        <w:rPr>
          <w:rFonts w:ascii="Palatino Linotype" w:hAnsi="Palatino Linotype"/>
          <w:b/>
          <w:bCs/>
          <w:color w:val="FF0000"/>
          <w:sz w:val="26"/>
          <w:szCs w:val="26"/>
          <w:lang w:val="en-GB"/>
        </w:rPr>
        <w:t>9</w:t>
      </w:r>
      <w:r w:rsidR="00EC5137" w:rsidRPr="004E5686">
        <w:rPr>
          <w:rFonts w:ascii="Palatino Linotype" w:hAnsi="Palatino Linotype"/>
          <w:b/>
          <w:bCs/>
          <w:color w:val="FF0000"/>
          <w:sz w:val="26"/>
          <w:szCs w:val="26"/>
          <w:lang w:val="en-GB"/>
        </w:rPr>
        <w:t>th</w:t>
      </w:r>
      <w:r w:rsidR="00456180" w:rsidRPr="004E5686">
        <w:rPr>
          <w:rFonts w:ascii="Palatino Linotype" w:hAnsi="Palatino Linotype"/>
          <w:b/>
          <w:bCs/>
          <w:color w:val="FF0000"/>
          <w:sz w:val="26"/>
          <w:szCs w:val="26"/>
          <w:lang w:val="en-GB"/>
        </w:rPr>
        <w:t xml:space="preserve"> REDETE </w:t>
      </w:r>
      <w:r w:rsidR="00961EA1" w:rsidRPr="004E5686">
        <w:rPr>
          <w:rFonts w:ascii="Palatino Linotype" w:hAnsi="Palatino Linotype"/>
          <w:b/>
          <w:bCs/>
          <w:color w:val="FF0000"/>
          <w:sz w:val="26"/>
          <w:szCs w:val="26"/>
          <w:lang w:val="en-GB"/>
        </w:rPr>
        <w:t xml:space="preserve">Conference </w:t>
      </w:r>
      <w:r w:rsidR="00456180" w:rsidRPr="004E5686">
        <w:rPr>
          <w:rFonts w:ascii="Palatino Linotype" w:hAnsi="Palatino Linotype"/>
          <w:b/>
          <w:bCs/>
          <w:color w:val="FF0000"/>
          <w:sz w:val="26"/>
          <w:szCs w:val="26"/>
          <w:lang w:val="en-GB"/>
        </w:rPr>
        <w:t>20</w:t>
      </w:r>
      <w:r w:rsidR="00EC5137" w:rsidRPr="004E5686">
        <w:rPr>
          <w:rFonts w:ascii="Palatino Linotype" w:hAnsi="Palatino Linotype"/>
          <w:b/>
          <w:bCs/>
          <w:color w:val="FF0000"/>
          <w:sz w:val="26"/>
          <w:szCs w:val="26"/>
          <w:lang w:val="en-GB"/>
        </w:rPr>
        <w:t>2</w:t>
      </w:r>
      <w:r w:rsidR="72A65BAA" w:rsidRPr="004E5686">
        <w:rPr>
          <w:rFonts w:ascii="Palatino Linotype" w:hAnsi="Palatino Linotype"/>
          <w:b/>
          <w:bCs/>
          <w:color w:val="FF0000"/>
          <w:sz w:val="26"/>
          <w:szCs w:val="26"/>
          <w:lang w:val="en-GB"/>
        </w:rPr>
        <w:t>2</w:t>
      </w:r>
    </w:p>
    <w:p w14:paraId="703B4CE9" w14:textId="5C0467A5" w:rsidR="00F611BA" w:rsidRPr="004E5686" w:rsidRDefault="00456180" w:rsidP="006A666E">
      <w:pPr>
        <w:jc w:val="center"/>
        <w:rPr>
          <w:rFonts w:ascii="Palatino Linotype" w:hAnsi="Palatino Linotype"/>
          <w:b/>
          <w:bCs/>
          <w:i/>
          <w:iCs/>
          <w:color w:val="000000"/>
          <w:sz w:val="26"/>
          <w:szCs w:val="26"/>
          <w:lang w:val="en-GB"/>
        </w:rPr>
      </w:pPr>
      <w:r w:rsidRPr="004E5686">
        <w:rPr>
          <w:rFonts w:ascii="Palatino Linotype" w:hAnsi="Palatino Linotype"/>
          <w:b/>
          <w:bCs/>
          <w:i/>
          <w:iCs/>
          <w:color w:val="000000" w:themeColor="text1"/>
          <w:sz w:val="26"/>
          <w:szCs w:val="26"/>
          <w:lang w:val="en-GB"/>
        </w:rPr>
        <w:t>“</w:t>
      </w:r>
      <w:r w:rsidR="00AB6763" w:rsidRPr="004E5686">
        <w:rPr>
          <w:rFonts w:ascii="Palatino Linotype" w:hAnsi="Palatino Linotype"/>
          <w:b/>
          <w:bCs/>
          <w:i/>
          <w:iCs/>
          <w:color w:val="000000" w:themeColor="text1"/>
          <w:sz w:val="26"/>
          <w:szCs w:val="26"/>
          <w:lang w:val="en-GB"/>
        </w:rPr>
        <w:t xml:space="preserve">Present and future </w:t>
      </w:r>
      <w:r w:rsidR="00240049" w:rsidRPr="004E5686">
        <w:rPr>
          <w:rFonts w:ascii="Palatino Linotype" w:hAnsi="Palatino Linotype"/>
          <w:b/>
          <w:bCs/>
          <w:i/>
          <w:iCs/>
          <w:color w:val="000000" w:themeColor="text1"/>
          <w:sz w:val="26"/>
          <w:szCs w:val="26"/>
          <w:lang w:val="en-GB"/>
        </w:rPr>
        <w:t xml:space="preserve">challenges in </w:t>
      </w:r>
      <w:r w:rsidR="00897C16" w:rsidRPr="004E5686">
        <w:rPr>
          <w:rFonts w:ascii="Palatino Linotype" w:hAnsi="Palatino Linotype"/>
          <w:b/>
          <w:bCs/>
          <w:i/>
          <w:iCs/>
          <w:color w:val="000000" w:themeColor="text1"/>
          <w:sz w:val="26"/>
          <w:szCs w:val="26"/>
          <w:lang w:val="en-GB"/>
        </w:rPr>
        <w:t>regional</w:t>
      </w:r>
      <w:r w:rsidR="006B69A5" w:rsidRPr="004E5686">
        <w:rPr>
          <w:rFonts w:ascii="Palatino Linotype" w:hAnsi="Palatino Linotype"/>
          <w:b/>
          <w:bCs/>
          <w:i/>
          <w:iCs/>
          <w:color w:val="000000" w:themeColor="text1"/>
          <w:sz w:val="26"/>
          <w:szCs w:val="26"/>
          <w:lang w:val="en-GB"/>
        </w:rPr>
        <w:t xml:space="preserve"> </w:t>
      </w:r>
      <w:r w:rsidR="00F611BA" w:rsidRPr="004E5686">
        <w:rPr>
          <w:rFonts w:ascii="Palatino Linotype" w:hAnsi="Palatino Linotype"/>
          <w:b/>
          <w:bCs/>
          <w:i/>
          <w:iCs/>
          <w:color w:val="000000" w:themeColor="text1"/>
          <w:sz w:val="26"/>
          <w:szCs w:val="26"/>
          <w:lang w:val="en-GB"/>
        </w:rPr>
        <w:t>development</w:t>
      </w:r>
      <w:r w:rsidR="404CB191" w:rsidRPr="004E5686">
        <w:rPr>
          <w:rFonts w:ascii="Palatino Linotype" w:hAnsi="Palatino Linotype"/>
          <w:b/>
          <w:bCs/>
          <w:i/>
          <w:iCs/>
          <w:color w:val="000000" w:themeColor="text1"/>
          <w:sz w:val="26"/>
          <w:szCs w:val="26"/>
          <w:lang w:val="en-GB"/>
        </w:rPr>
        <w:t xml:space="preserve"> in the</w:t>
      </w:r>
    </w:p>
    <w:p w14:paraId="55FB392A" w14:textId="300912DD" w:rsidR="00456180" w:rsidRPr="004E5686" w:rsidRDefault="00E47D04" w:rsidP="006A666E">
      <w:pPr>
        <w:jc w:val="center"/>
        <w:rPr>
          <w:rFonts w:ascii="Palatino Linotype" w:hAnsi="Palatino Linotype"/>
          <w:b/>
          <w:bCs/>
          <w:i/>
          <w:iCs/>
          <w:color w:val="000000"/>
          <w:sz w:val="26"/>
          <w:szCs w:val="26"/>
          <w:lang w:val="en-GB"/>
        </w:rPr>
      </w:pPr>
      <w:r w:rsidRPr="004E5686">
        <w:rPr>
          <w:rFonts w:ascii="Palatino Linotype" w:hAnsi="Palatino Linotype"/>
          <w:b/>
          <w:bCs/>
          <w:i/>
          <w:iCs/>
          <w:color w:val="000000" w:themeColor="text1"/>
          <w:sz w:val="26"/>
          <w:szCs w:val="26"/>
          <w:lang w:val="en-GB"/>
        </w:rPr>
        <w:t>Adri</w:t>
      </w:r>
      <w:r w:rsidR="00FA4C07" w:rsidRPr="004E5686">
        <w:rPr>
          <w:rFonts w:ascii="Palatino Linotype" w:hAnsi="Palatino Linotype"/>
          <w:b/>
          <w:bCs/>
          <w:i/>
          <w:iCs/>
          <w:color w:val="000000" w:themeColor="text1"/>
          <w:sz w:val="26"/>
          <w:szCs w:val="26"/>
          <w:lang w:val="en-GB"/>
        </w:rPr>
        <w:t>atic-Ionian Region</w:t>
      </w:r>
      <w:r w:rsidR="00456180" w:rsidRPr="004E5686">
        <w:rPr>
          <w:rFonts w:ascii="Palatino Linotype" w:hAnsi="Palatino Linotype"/>
          <w:b/>
          <w:bCs/>
          <w:i/>
          <w:iCs/>
          <w:color w:val="000000" w:themeColor="text1"/>
          <w:sz w:val="26"/>
          <w:szCs w:val="26"/>
          <w:lang w:val="en-GB"/>
        </w:rPr>
        <w:t>”</w:t>
      </w:r>
    </w:p>
    <w:p w14:paraId="55FB392D" w14:textId="113AA7A7" w:rsidR="00456180" w:rsidRPr="004E5686" w:rsidRDefault="00012178" w:rsidP="006A666E">
      <w:pPr>
        <w:jc w:val="center"/>
        <w:rPr>
          <w:rFonts w:ascii="Palatino Linotype" w:hAnsi="Palatino Linotype"/>
          <w:sz w:val="26"/>
          <w:szCs w:val="26"/>
          <w:lang w:val="en-GB"/>
        </w:rPr>
      </w:pPr>
      <w:r w:rsidRPr="004E5686">
        <w:rPr>
          <w:rFonts w:ascii="Palatino Linotype" w:hAnsi="Palatino Linotype"/>
          <w:b/>
          <w:bCs/>
          <w:color w:val="FF0000"/>
          <w:sz w:val="26"/>
          <w:szCs w:val="26"/>
          <w:lang w:val="en-GB"/>
        </w:rPr>
        <w:t>Ancona, Ita</w:t>
      </w:r>
      <w:r w:rsidR="001D56EB" w:rsidRPr="004E5686">
        <w:rPr>
          <w:rFonts w:ascii="Palatino Linotype" w:hAnsi="Palatino Linotype"/>
          <w:b/>
          <w:bCs/>
          <w:color w:val="FF0000"/>
          <w:sz w:val="26"/>
          <w:szCs w:val="26"/>
          <w:lang w:val="en-GB"/>
        </w:rPr>
        <w:t xml:space="preserve">ly </w:t>
      </w:r>
      <w:r w:rsidR="00997FFB" w:rsidRPr="004E5686">
        <w:rPr>
          <w:rFonts w:ascii="Palatino Linotype" w:hAnsi="Palatino Linotype"/>
          <w:b/>
          <w:bCs/>
          <w:color w:val="FF0000"/>
          <w:sz w:val="26"/>
          <w:szCs w:val="26"/>
          <w:lang w:val="en-GB"/>
        </w:rPr>
        <w:t>–</w:t>
      </w:r>
      <w:r w:rsidR="001D56EB" w:rsidRPr="004E5686">
        <w:rPr>
          <w:rFonts w:ascii="Palatino Linotype" w:hAnsi="Palatino Linotype"/>
          <w:b/>
          <w:bCs/>
          <w:color w:val="FF0000"/>
          <w:sz w:val="26"/>
          <w:szCs w:val="26"/>
          <w:lang w:val="en-GB"/>
        </w:rPr>
        <w:t xml:space="preserve"> </w:t>
      </w:r>
      <w:r w:rsidR="2C95B5A0" w:rsidRPr="004E5686">
        <w:rPr>
          <w:rFonts w:ascii="Palatino Linotype" w:hAnsi="Palatino Linotype"/>
          <w:b/>
          <w:bCs/>
          <w:color w:val="FF0000"/>
          <w:sz w:val="26"/>
          <w:szCs w:val="26"/>
          <w:lang w:val="en-GB"/>
        </w:rPr>
        <w:t>15-16 September</w:t>
      </w:r>
      <w:r w:rsidR="00997FFB" w:rsidRPr="004E5686">
        <w:rPr>
          <w:rFonts w:ascii="Palatino Linotype" w:hAnsi="Palatino Linotype"/>
          <w:b/>
          <w:bCs/>
          <w:color w:val="FF0000"/>
          <w:sz w:val="26"/>
          <w:szCs w:val="26"/>
          <w:lang w:val="en-GB"/>
        </w:rPr>
        <w:t xml:space="preserve"> </w:t>
      </w:r>
      <w:r w:rsidR="0061578B" w:rsidRPr="004E5686">
        <w:rPr>
          <w:rFonts w:ascii="Palatino Linotype" w:hAnsi="Palatino Linotype"/>
          <w:b/>
          <w:bCs/>
          <w:color w:val="FF0000"/>
          <w:sz w:val="26"/>
          <w:szCs w:val="26"/>
          <w:lang w:val="en-GB"/>
        </w:rPr>
        <w:t>202</w:t>
      </w:r>
      <w:r w:rsidR="5D34B1B4" w:rsidRPr="004E5686">
        <w:rPr>
          <w:rFonts w:ascii="Palatino Linotype" w:hAnsi="Palatino Linotype"/>
          <w:b/>
          <w:bCs/>
          <w:color w:val="FF0000"/>
          <w:sz w:val="26"/>
          <w:szCs w:val="26"/>
          <w:lang w:val="en-GB"/>
        </w:rPr>
        <w:t>2</w:t>
      </w:r>
    </w:p>
    <w:p w14:paraId="55FB392E" w14:textId="5932A8D6" w:rsidR="00456180" w:rsidRPr="005B0B37" w:rsidRDefault="00456180" w:rsidP="006A666E">
      <w:pPr>
        <w:jc w:val="center"/>
        <w:rPr>
          <w:rFonts w:ascii="Palatino Linotype" w:hAnsi="Palatino Linotype"/>
          <w:lang w:val="en-GB"/>
        </w:rPr>
      </w:pPr>
    </w:p>
    <w:p w14:paraId="55FB392F" w14:textId="02D03DA7" w:rsidR="00456180" w:rsidRPr="004E5686" w:rsidRDefault="00456180" w:rsidP="006A666E">
      <w:pPr>
        <w:jc w:val="center"/>
        <w:rPr>
          <w:rFonts w:ascii="Palatino Linotype" w:hAnsi="Palatino Linotype"/>
          <w:sz w:val="26"/>
          <w:szCs w:val="26"/>
          <w:lang w:val="en-GB"/>
        </w:rPr>
      </w:pPr>
      <w:r w:rsidRPr="004E5686">
        <w:rPr>
          <w:rFonts w:ascii="Palatino Linotype" w:hAnsi="Palatino Linotype"/>
          <w:b/>
          <w:bCs/>
          <w:i/>
          <w:iCs/>
          <w:color w:val="FF0000"/>
          <w:sz w:val="26"/>
          <w:szCs w:val="26"/>
          <w:lang w:val="en-GB"/>
        </w:rPr>
        <w:t>Call for Papers</w:t>
      </w:r>
    </w:p>
    <w:p w14:paraId="55FB3930" w14:textId="77777777" w:rsidR="00456180" w:rsidRPr="005B0B37" w:rsidRDefault="00456180" w:rsidP="004E5686">
      <w:pPr>
        <w:jc w:val="both"/>
        <w:rPr>
          <w:rFonts w:ascii="Palatino Linotype" w:hAnsi="Palatino Linotype"/>
          <w:sz w:val="18"/>
          <w:szCs w:val="18"/>
          <w:lang w:val="en-GB"/>
        </w:rPr>
      </w:pPr>
      <w:r w:rsidRPr="004E5686">
        <w:rPr>
          <w:rFonts w:ascii="Palatino Linotype" w:hAnsi="Palatino Linotype"/>
          <w:lang w:val="en-GB"/>
        </w:rPr>
        <w:t> </w:t>
      </w:r>
    </w:p>
    <w:p w14:paraId="32DC8644" w14:textId="77777777" w:rsidR="00900BE3" w:rsidRDefault="00AB448A" w:rsidP="004E5686">
      <w:pPr>
        <w:pStyle w:val="Default"/>
        <w:jc w:val="both"/>
        <w:rPr>
          <w:sz w:val="22"/>
          <w:szCs w:val="22"/>
          <w:lang w:val="en-GB"/>
        </w:rPr>
      </w:pPr>
      <w:r w:rsidRPr="004E5686">
        <w:rPr>
          <w:sz w:val="22"/>
          <w:szCs w:val="22"/>
          <w:lang w:val="en-GB"/>
        </w:rPr>
        <w:t xml:space="preserve">As a functional area primarily defined by the Adriatic and Ionian Seas basin, the Adriatic and Ionian Region plays a key role in strengthening geographical continuity in Europe. Comprising several countries and many regions that are highly diversified in relation to the socio-economic and physical dimension, it covers an important terrestrial surface area and homes more than 70 million people. </w:t>
      </w:r>
    </w:p>
    <w:p w14:paraId="6E651172" w14:textId="409BC4DF" w:rsidR="00AB448A" w:rsidRPr="004E5686" w:rsidRDefault="00AB448A" w:rsidP="004E5686">
      <w:pPr>
        <w:pStyle w:val="Default"/>
        <w:jc w:val="both"/>
        <w:rPr>
          <w:sz w:val="22"/>
          <w:szCs w:val="22"/>
          <w:lang w:val="en-GB"/>
        </w:rPr>
      </w:pPr>
      <w:r w:rsidRPr="004E5686">
        <w:rPr>
          <w:sz w:val="22"/>
          <w:szCs w:val="22"/>
          <w:lang w:val="en-GB"/>
        </w:rPr>
        <w:t xml:space="preserve">The Region is facing unprecedented challenges, from the post-pandemic recovery to the green and digital revolution, which are increasing disparities between central and peripheral regions and inland areas within the same region. The region is part of the European Union Strategy for the Adriatic and Ionian Region (EUSAIR) launched in 2014, a long-term strategic policy framework aiming to promote economic and social prosperity and growth in the region by improving its attractiveness, competitiveness, and connectivity. After seven years of implementation, it is time for a first evaluation of its results and for proposing new development trajectories for the Adriatic-Ionian Regions and its inner areas. </w:t>
      </w:r>
    </w:p>
    <w:p w14:paraId="262E6C70" w14:textId="77777777" w:rsidR="001C7D93" w:rsidRDefault="001C7D93" w:rsidP="004E5686">
      <w:pPr>
        <w:jc w:val="both"/>
        <w:rPr>
          <w:rFonts w:ascii="Palatino Linotype" w:hAnsi="Palatino Linotype"/>
          <w:lang w:val="en-GB"/>
        </w:rPr>
      </w:pPr>
    </w:p>
    <w:p w14:paraId="55FB3937" w14:textId="734481A4" w:rsidR="00456180" w:rsidRPr="004E5686" w:rsidRDefault="00AB448A" w:rsidP="004E5686">
      <w:pPr>
        <w:jc w:val="both"/>
        <w:rPr>
          <w:rFonts w:ascii="Palatino Linotype" w:hAnsi="Palatino Linotype"/>
          <w:lang w:val="en-GB"/>
        </w:rPr>
      </w:pPr>
      <w:r w:rsidRPr="004E5686">
        <w:rPr>
          <w:rFonts w:ascii="Palatino Linotype" w:hAnsi="Palatino Linotype"/>
          <w:lang w:val="en-GB"/>
        </w:rPr>
        <w:t xml:space="preserve">The aim of the </w:t>
      </w:r>
      <w:r w:rsidRPr="004E5686">
        <w:rPr>
          <w:rFonts w:ascii="Palatino Linotype" w:hAnsi="Palatino Linotype"/>
          <w:b/>
          <w:bCs/>
          <w:lang w:val="en-GB"/>
        </w:rPr>
        <w:t xml:space="preserve">9th REDETE Conference </w:t>
      </w:r>
      <w:r w:rsidRPr="004E5686">
        <w:rPr>
          <w:rFonts w:ascii="Palatino Linotype" w:hAnsi="Palatino Linotype"/>
          <w:lang w:val="en-GB"/>
        </w:rPr>
        <w:t>is to encourage researchers, practitioners, and policy makers to contribute to our understanding of the challenges faced by countries and regions to promote economic development and regional integration.</w:t>
      </w:r>
    </w:p>
    <w:p w14:paraId="66A8C9DD" w14:textId="77777777" w:rsidR="00870020" w:rsidRPr="004E5686" w:rsidRDefault="00870020" w:rsidP="004E5686">
      <w:pPr>
        <w:jc w:val="both"/>
        <w:rPr>
          <w:rFonts w:ascii="Palatino Linotype" w:hAnsi="Palatino Linotype"/>
          <w:b/>
          <w:bCs/>
          <w:color w:val="000000" w:themeColor="text1"/>
          <w:lang w:val="en-GB"/>
        </w:rPr>
      </w:pPr>
    </w:p>
    <w:p w14:paraId="55FB3939" w14:textId="1D9A5446" w:rsidR="00456180" w:rsidRPr="004E5686" w:rsidRDefault="00103F37" w:rsidP="004E5686">
      <w:pPr>
        <w:jc w:val="both"/>
        <w:rPr>
          <w:rFonts w:ascii="Palatino Linotype" w:hAnsi="Palatino Linotype"/>
          <w:lang w:val="en-GB"/>
        </w:rPr>
      </w:pPr>
      <w:r w:rsidRPr="004E5686">
        <w:rPr>
          <w:rFonts w:ascii="Palatino Linotype" w:hAnsi="Palatino Linotype"/>
          <w:b/>
          <w:bCs/>
          <w:color w:val="000000" w:themeColor="text1"/>
          <w:lang w:val="en-GB"/>
        </w:rPr>
        <w:t>Topic</w:t>
      </w:r>
      <w:r w:rsidR="00456180" w:rsidRPr="004E5686">
        <w:rPr>
          <w:rFonts w:ascii="Palatino Linotype" w:hAnsi="Palatino Linotype"/>
          <w:b/>
          <w:bCs/>
          <w:color w:val="000000" w:themeColor="text1"/>
          <w:lang w:val="en-GB"/>
        </w:rPr>
        <w:t>s of interest</w:t>
      </w:r>
      <w:r w:rsidRPr="004E5686">
        <w:rPr>
          <w:rFonts w:ascii="Palatino Linotype" w:hAnsi="Palatino Linotype"/>
          <w:b/>
          <w:bCs/>
          <w:color w:val="000000" w:themeColor="text1"/>
          <w:lang w:val="en-GB"/>
        </w:rPr>
        <w:t xml:space="preserve"> </w:t>
      </w:r>
      <w:r w:rsidR="00456180" w:rsidRPr="004E5686">
        <w:rPr>
          <w:rFonts w:ascii="Palatino Linotype" w:hAnsi="Palatino Linotype"/>
          <w:b/>
          <w:bCs/>
          <w:color w:val="000000" w:themeColor="text1"/>
          <w:lang w:val="en-GB"/>
        </w:rPr>
        <w:t>include</w:t>
      </w:r>
      <w:r w:rsidR="00456180" w:rsidRPr="004E5686">
        <w:rPr>
          <w:rFonts w:ascii="Palatino Linotype" w:hAnsi="Palatino Linotype"/>
          <w:color w:val="000000" w:themeColor="text1"/>
          <w:lang w:val="en-GB"/>
        </w:rPr>
        <w:t>:</w:t>
      </w:r>
    </w:p>
    <w:p w14:paraId="55FB393F" w14:textId="467198ED" w:rsidR="00456180" w:rsidRPr="004E5686" w:rsidRDefault="00456180" w:rsidP="004E5686">
      <w:pPr>
        <w:pStyle w:val="Listenabsatz"/>
        <w:numPr>
          <w:ilvl w:val="0"/>
          <w:numId w:val="5"/>
        </w:numPr>
        <w:ind w:left="426" w:hanging="426"/>
        <w:jc w:val="both"/>
        <w:rPr>
          <w:rFonts w:ascii="Palatino Linotype" w:hAnsi="Palatino Linotype"/>
          <w:color w:val="000000"/>
          <w:lang w:val="en-GB"/>
        </w:rPr>
      </w:pPr>
      <w:r w:rsidRPr="0006624A">
        <w:rPr>
          <w:rFonts w:ascii="Palatino Linotype" w:hAnsi="Palatino Linotype"/>
          <w:b/>
          <w:bCs/>
          <w:i/>
          <w:iCs/>
          <w:color w:val="000000"/>
          <w:lang w:val="en-GB"/>
        </w:rPr>
        <w:t>Entrepreneurship and innovation</w:t>
      </w:r>
      <w:r w:rsidR="00D6073E" w:rsidRPr="004E5686">
        <w:rPr>
          <w:rFonts w:ascii="Palatino Linotype" w:hAnsi="Palatino Linotype"/>
          <w:i/>
          <w:iCs/>
          <w:color w:val="000000"/>
          <w:lang w:val="en-GB"/>
        </w:rPr>
        <w:t xml:space="preserve">: </w:t>
      </w:r>
      <w:r w:rsidRPr="004E5686">
        <w:rPr>
          <w:rFonts w:ascii="Palatino Linotype" w:hAnsi="Palatino Linotype"/>
          <w:color w:val="000000"/>
          <w:lang w:val="en-GB"/>
        </w:rPr>
        <w:t>new firm formation and firm dynamics</w:t>
      </w:r>
      <w:r w:rsidR="00D6073E" w:rsidRPr="004E5686">
        <w:rPr>
          <w:rFonts w:ascii="Palatino Linotype" w:hAnsi="Palatino Linotype"/>
          <w:color w:val="000000"/>
          <w:lang w:val="en-GB"/>
        </w:rPr>
        <w:t xml:space="preserve">; </w:t>
      </w:r>
      <w:r w:rsidRPr="004E5686">
        <w:rPr>
          <w:rFonts w:ascii="Palatino Linotype" w:hAnsi="Palatino Linotype"/>
          <w:color w:val="000000"/>
          <w:lang w:val="en-GB"/>
        </w:rPr>
        <w:t>university-industry collaboration</w:t>
      </w:r>
      <w:r w:rsidR="00D6073E" w:rsidRPr="004E5686">
        <w:rPr>
          <w:rFonts w:ascii="Palatino Linotype" w:hAnsi="Palatino Linotype"/>
          <w:color w:val="000000"/>
          <w:lang w:val="en-GB"/>
        </w:rPr>
        <w:t xml:space="preserve">; </w:t>
      </w:r>
      <w:r w:rsidRPr="004E5686">
        <w:rPr>
          <w:rFonts w:ascii="Palatino Linotype" w:hAnsi="Palatino Linotype"/>
          <w:color w:val="000000"/>
          <w:lang w:val="en-GB"/>
        </w:rPr>
        <w:t>academic entrepreneurship</w:t>
      </w:r>
      <w:r w:rsidR="00D6073E" w:rsidRPr="004E5686">
        <w:rPr>
          <w:rFonts w:ascii="Palatino Linotype" w:hAnsi="Palatino Linotype"/>
          <w:color w:val="000000"/>
          <w:lang w:val="en-GB"/>
        </w:rPr>
        <w:t xml:space="preserve">; </w:t>
      </w:r>
      <w:r w:rsidRPr="004E5686">
        <w:rPr>
          <w:rFonts w:ascii="Palatino Linotype" w:hAnsi="Palatino Linotype"/>
          <w:color w:val="000000"/>
          <w:lang w:val="en-GB"/>
        </w:rPr>
        <w:t>innovation in transition economies</w:t>
      </w:r>
      <w:r w:rsidR="00D6073E" w:rsidRPr="004E5686">
        <w:rPr>
          <w:rFonts w:ascii="Palatino Linotype" w:hAnsi="Palatino Linotype"/>
          <w:color w:val="000000"/>
          <w:lang w:val="en-GB"/>
        </w:rPr>
        <w:t xml:space="preserve">; </w:t>
      </w:r>
      <w:r w:rsidRPr="004E5686">
        <w:rPr>
          <w:rFonts w:ascii="Palatino Linotype" w:hAnsi="Palatino Linotype"/>
          <w:color w:val="000000"/>
          <w:lang w:val="en-GB"/>
        </w:rPr>
        <w:t>entrepreneurial and SMEs financing</w:t>
      </w:r>
      <w:r w:rsidR="00D6073E" w:rsidRPr="004E5686">
        <w:rPr>
          <w:rFonts w:ascii="Palatino Linotype" w:hAnsi="Palatino Linotype"/>
          <w:color w:val="000000"/>
          <w:lang w:val="en-GB"/>
        </w:rPr>
        <w:t>.</w:t>
      </w:r>
    </w:p>
    <w:p w14:paraId="51CFDF51" w14:textId="77C6AB41" w:rsidR="00456180" w:rsidRPr="004E5686" w:rsidRDefault="00456180" w:rsidP="004E5686">
      <w:pPr>
        <w:pStyle w:val="Listenabsatz"/>
        <w:numPr>
          <w:ilvl w:val="0"/>
          <w:numId w:val="5"/>
        </w:numPr>
        <w:ind w:left="426" w:hanging="426"/>
        <w:jc w:val="both"/>
        <w:rPr>
          <w:rFonts w:ascii="Palatino Linotype" w:hAnsi="Palatino Linotype"/>
          <w:color w:val="000000" w:themeColor="text1"/>
          <w:lang w:val="en-GB"/>
        </w:rPr>
      </w:pPr>
      <w:r w:rsidRPr="0006624A">
        <w:rPr>
          <w:rFonts w:ascii="Palatino Linotype" w:hAnsi="Palatino Linotype"/>
          <w:b/>
          <w:bCs/>
          <w:i/>
          <w:iCs/>
          <w:color w:val="000000" w:themeColor="text1"/>
          <w:lang w:val="en-GB"/>
        </w:rPr>
        <w:t xml:space="preserve">Regional </w:t>
      </w:r>
      <w:r w:rsidRPr="0006624A">
        <w:rPr>
          <w:rFonts w:ascii="Palatino Linotype" w:hAnsi="Palatino Linotype"/>
          <w:b/>
          <w:bCs/>
          <w:i/>
          <w:iCs/>
          <w:color w:val="000000"/>
          <w:lang w:val="en-GB"/>
        </w:rPr>
        <w:t>development</w:t>
      </w:r>
      <w:r w:rsidR="00D6073E" w:rsidRPr="004E5686">
        <w:rPr>
          <w:rFonts w:ascii="Palatino Linotype" w:hAnsi="Palatino Linotype"/>
          <w:i/>
          <w:iCs/>
          <w:color w:val="000000" w:themeColor="text1"/>
          <w:lang w:val="en-GB"/>
        </w:rPr>
        <w:t xml:space="preserve">: </w:t>
      </w:r>
      <w:r w:rsidRPr="004E5686">
        <w:rPr>
          <w:rFonts w:ascii="Palatino Linotype" w:hAnsi="Palatino Linotype"/>
          <w:color w:val="000000" w:themeColor="text1"/>
          <w:lang w:val="en-GB"/>
        </w:rPr>
        <w:t>clustering and networking</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interfirm relations</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regional innovation ecosystems</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foreign direct investments</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role of banks and financial markets</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role of infrastructure</w:t>
      </w:r>
      <w:r w:rsidR="00D6073E" w:rsidRPr="004E5686">
        <w:rPr>
          <w:rFonts w:ascii="Palatino Linotype" w:hAnsi="Palatino Linotype"/>
          <w:color w:val="000000" w:themeColor="text1"/>
          <w:lang w:val="en-GB"/>
        </w:rPr>
        <w:t>.</w:t>
      </w:r>
    </w:p>
    <w:p w14:paraId="7A90BFDB" w14:textId="34493E25" w:rsidR="49364380" w:rsidRPr="004E5686" w:rsidRDefault="00456180" w:rsidP="004E5686">
      <w:pPr>
        <w:pStyle w:val="Listenabsatz"/>
        <w:numPr>
          <w:ilvl w:val="0"/>
          <w:numId w:val="5"/>
        </w:numPr>
        <w:ind w:left="426" w:hanging="426"/>
        <w:jc w:val="both"/>
        <w:rPr>
          <w:rFonts w:ascii="Palatino Linotype" w:hAnsi="Palatino Linotype"/>
          <w:color w:val="000000" w:themeColor="text1"/>
          <w:lang w:val="en-GB"/>
        </w:rPr>
      </w:pPr>
      <w:r w:rsidRPr="0006624A">
        <w:rPr>
          <w:rFonts w:ascii="Palatino Linotype" w:hAnsi="Palatino Linotype"/>
          <w:b/>
          <w:bCs/>
          <w:i/>
          <w:iCs/>
          <w:color w:val="000000" w:themeColor="text1"/>
          <w:lang w:val="en-GB"/>
        </w:rPr>
        <w:t>Cohesion policy and European identity</w:t>
      </w:r>
      <w:r w:rsidR="00D6073E" w:rsidRPr="004E5686">
        <w:rPr>
          <w:rFonts w:ascii="Palatino Linotype" w:hAnsi="Palatino Linotype"/>
          <w:i/>
          <w:iCs/>
          <w:color w:val="000000" w:themeColor="text1"/>
          <w:lang w:val="en-GB"/>
        </w:rPr>
        <w:t xml:space="preserve">: </w:t>
      </w:r>
      <w:r w:rsidRPr="004E5686">
        <w:rPr>
          <w:rFonts w:ascii="Palatino Linotype" w:hAnsi="Palatino Linotype"/>
          <w:color w:val="000000" w:themeColor="text1"/>
          <w:lang w:val="en-GB"/>
        </w:rPr>
        <w:t xml:space="preserve">population </w:t>
      </w:r>
      <w:r w:rsidR="00A4305C" w:rsidRPr="004E5686">
        <w:rPr>
          <w:rFonts w:ascii="Palatino Linotype" w:hAnsi="Palatino Linotype"/>
          <w:color w:val="000000" w:themeColor="text1"/>
          <w:lang w:val="en-GB"/>
        </w:rPr>
        <w:t>dynamics</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 xml:space="preserve">social policy, </w:t>
      </w:r>
      <w:r w:rsidR="003B5EAB" w:rsidRPr="004E5686">
        <w:rPr>
          <w:rFonts w:ascii="Palatino Linotype" w:hAnsi="Palatino Linotype"/>
          <w:color w:val="000000" w:themeColor="text1"/>
          <w:lang w:val="en-GB"/>
        </w:rPr>
        <w:t>poverty,</w:t>
      </w:r>
      <w:r w:rsidRPr="004E5686">
        <w:rPr>
          <w:rFonts w:ascii="Palatino Linotype" w:hAnsi="Palatino Linotype"/>
          <w:color w:val="000000" w:themeColor="text1"/>
          <w:lang w:val="en-GB"/>
        </w:rPr>
        <w:t xml:space="preserve"> and exclusion</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 xml:space="preserve">legal systems, </w:t>
      </w:r>
      <w:r w:rsidR="00B50774" w:rsidRPr="004E5686">
        <w:rPr>
          <w:rFonts w:ascii="Palatino Linotype" w:hAnsi="Palatino Linotype"/>
          <w:color w:val="000000" w:themeColor="text1"/>
          <w:lang w:val="en-GB"/>
        </w:rPr>
        <w:t>corruption,</w:t>
      </w:r>
      <w:r w:rsidRPr="004E5686">
        <w:rPr>
          <w:rFonts w:ascii="Palatino Linotype" w:hAnsi="Palatino Linotype"/>
          <w:color w:val="000000" w:themeColor="text1"/>
          <w:lang w:val="en-GB"/>
        </w:rPr>
        <w:t xml:space="preserve"> and inequality</w:t>
      </w:r>
      <w:r w:rsidR="00D6073E" w:rsidRPr="004E5686">
        <w:rPr>
          <w:rFonts w:ascii="Palatino Linotype" w:hAnsi="Palatino Linotype"/>
          <w:color w:val="000000" w:themeColor="text1"/>
          <w:lang w:val="en-GB"/>
        </w:rPr>
        <w:t xml:space="preserve">; </w:t>
      </w:r>
      <w:r w:rsidRPr="004E5686">
        <w:rPr>
          <w:rFonts w:ascii="Palatino Linotype" w:hAnsi="Palatino Linotype"/>
          <w:color w:val="000000" w:themeColor="text1"/>
          <w:lang w:val="en-GB"/>
        </w:rPr>
        <w:t>EU cohesion policy</w:t>
      </w:r>
      <w:r w:rsidR="00D6073E" w:rsidRPr="004E5686">
        <w:rPr>
          <w:rFonts w:ascii="Palatino Linotype" w:hAnsi="Palatino Linotype"/>
          <w:color w:val="000000" w:themeColor="text1"/>
          <w:lang w:val="en-GB"/>
        </w:rPr>
        <w:t>.</w:t>
      </w:r>
    </w:p>
    <w:p w14:paraId="72A56DB9" w14:textId="0C877B0B" w:rsidR="000A5217" w:rsidRPr="004E5686" w:rsidRDefault="000A5217" w:rsidP="004E5686">
      <w:pPr>
        <w:pStyle w:val="Listenabsatz"/>
        <w:numPr>
          <w:ilvl w:val="0"/>
          <w:numId w:val="5"/>
        </w:numPr>
        <w:ind w:left="426" w:hanging="426"/>
        <w:jc w:val="both"/>
        <w:rPr>
          <w:rFonts w:ascii="Palatino Linotype" w:eastAsia="Calibri" w:hAnsi="Palatino Linotype"/>
          <w:color w:val="000000" w:themeColor="text1"/>
          <w:lang w:val="en-GB"/>
        </w:rPr>
      </w:pPr>
      <w:r w:rsidRPr="0006624A">
        <w:rPr>
          <w:rFonts w:ascii="Palatino Linotype" w:hAnsi="Palatino Linotype"/>
          <w:b/>
          <w:bCs/>
          <w:i/>
          <w:iCs/>
          <w:color w:val="000000" w:themeColor="text1"/>
          <w:lang w:val="en-GB"/>
        </w:rPr>
        <w:t>The political economy of ethnic reconciliation in the Western Balkans:</w:t>
      </w:r>
      <w:r w:rsidRPr="004E5686">
        <w:rPr>
          <w:rFonts w:ascii="Palatino Linotype" w:eastAsia="Calibri" w:hAnsi="Palatino Linotype"/>
          <w:i/>
          <w:iCs/>
          <w:color w:val="000000" w:themeColor="text1"/>
          <w:lang w:val="en-GB"/>
        </w:rPr>
        <w:t xml:space="preserve"> </w:t>
      </w:r>
      <w:r w:rsidRPr="004E5686">
        <w:rPr>
          <w:rFonts w:ascii="Palatino Linotype" w:eastAsia="Calibri" w:hAnsi="Palatino Linotype"/>
          <w:color w:val="000000" w:themeColor="text1"/>
          <w:lang w:val="en-GB"/>
        </w:rPr>
        <w:t xml:space="preserve">public policy and welfare state regimes in the region; building a multi-faith society across borders; integration and social tolerance; sustainable economic development and public policy models.  </w:t>
      </w:r>
    </w:p>
    <w:p w14:paraId="31A33328" w14:textId="7A120BA7" w:rsidR="003C48F1" w:rsidRPr="004E5686" w:rsidRDefault="00AE4246" w:rsidP="004E5686">
      <w:pPr>
        <w:pStyle w:val="Listenabsatz"/>
        <w:numPr>
          <w:ilvl w:val="0"/>
          <w:numId w:val="5"/>
        </w:numPr>
        <w:ind w:left="426" w:hanging="426"/>
        <w:jc w:val="both"/>
        <w:rPr>
          <w:rFonts w:ascii="Palatino Linotype" w:hAnsi="Palatino Linotype"/>
          <w:color w:val="000000"/>
          <w:lang w:val="en-GB"/>
        </w:rPr>
      </w:pPr>
      <w:r w:rsidRPr="0006624A">
        <w:rPr>
          <w:rFonts w:ascii="Palatino Linotype" w:hAnsi="Palatino Linotype"/>
          <w:b/>
          <w:bCs/>
          <w:i/>
          <w:iCs/>
          <w:color w:val="000000" w:themeColor="text1"/>
          <w:lang w:val="en-GB"/>
        </w:rPr>
        <w:t>Migration</w:t>
      </w:r>
      <w:r w:rsidRPr="004E5686">
        <w:rPr>
          <w:rFonts w:ascii="Palatino Linotype" w:hAnsi="Palatino Linotype"/>
          <w:i/>
          <w:iCs/>
          <w:color w:val="000000" w:themeColor="text1"/>
          <w:lang w:val="en-GB"/>
        </w:rPr>
        <w:t xml:space="preserve">: </w:t>
      </w:r>
      <w:r w:rsidRPr="004E5686">
        <w:rPr>
          <w:rFonts w:ascii="Palatino Linotype" w:hAnsi="Palatino Linotype"/>
          <w:color w:val="000000" w:themeColor="text1"/>
          <w:lang w:val="en-GB"/>
        </w:rPr>
        <w:t>migrant and refugee crises; migrant socio-economic integration; brain drain; remittances; return migration; migrant entrepreneurship; migration policies.</w:t>
      </w:r>
    </w:p>
    <w:p w14:paraId="128EF72C" w14:textId="77777777" w:rsidR="006D1E43" w:rsidRDefault="006D1E43" w:rsidP="004E5686">
      <w:pPr>
        <w:jc w:val="both"/>
        <w:rPr>
          <w:rFonts w:ascii="Palatino Linotype" w:eastAsia="Times New Roman" w:hAnsi="Palatino Linotype"/>
          <w:color w:val="000000"/>
          <w:lang w:val="en-GB"/>
        </w:rPr>
      </w:pPr>
    </w:p>
    <w:p w14:paraId="3533DB8C" w14:textId="75A945B9" w:rsidR="003D22FC" w:rsidRPr="004E5686" w:rsidRDefault="009E73D4" w:rsidP="004E5686">
      <w:pPr>
        <w:jc w:val="both"/>
        <w:rPr>
          <w:rFonts w:ascii="Palatino Linotype" w:eastAsia="Times New Roman" w:hAnsi="Palatino Linotype"/>
          <w:color w:val="000000"/>
          <w:lang w:val="en-GB"/>
        </w:rPr>
      </w:pPr>
      <w:r w:rsidRPr="004E5686">
        <w:rPr>
          <w:rFonts w:ascii="Palatino Linotype" w:eastAsia="Times New Roman" w:hAnsi="Palatino Linotype"/>
          <w:color w:val="000000"/>
          <w:lang w:val="en-GB"/>
        </w:rPr>
        <w:t xml:space="preserve">All papers presented to the REDETE conference will be considered for publication by the Editorial Committee of the </w:t>
      </w:r>
      <w:r w:rsidRPr="004E5686">
        <w:rPr>
          <w:rFonts w:ascii="Palatino Linotype" w:eastAsia="Times New Roman" w:hAnsi="Palatino Linotype"/>
          <w:i/>
          <w:iCs/>
          <w:color w:val="000000"/>
          <w:lang w:val="en-GB"/>
        </w:rPr>
        <w:t xml:space="preserve">Journal of Balkan and Near Eastern Studies </w:t>
      </w:r>
      <w:r w:rsidRPr="004E5686">
        <w:rPr>
          <w:rFonts w:ascii="Palatino Linotype" w:eastAsia="Times New Roman" w:hAnsi="Palatino Linotype"/>
          <w:color w:val="000000"/>
          <w:lang w:val="en-GB"/>
        </w:rPr>
        <w:t xml:space="preserve">(Routledge-Taylor &amp; Francis, 8 issues annually since 1998. They will also be considered for publication in the form of an edited book in the Routledge series of Europe-Regional Studies </w:t>
      </w:r>
      <w:r w:rsidR="00D10123">
        <w:rPr>
          <w:rFonts w:ascii="Palatino Linotype" w:eastAsia="Times New Roman" w:hAnsi="Palatino Linotype"/>
          <w:color w:val="000000"/>
          <w:lang w:val="en-GB"/>
        </w:rPr>
        <w:t>and</w:t>
      </w:r>
      <w:r w:rsidR="003A54CA">
        <w:rPr>
          <w:rFonts w:ascii="Palatino Linotype" w:eastAsia="Times New Roman" w:hAnsi="Palatino Linotype"/>
          <w:color w:val="000000"/>
          <w:lang w:val="en-GB"/>
        </w:rPr>
        <w:t xml:space="preserve"> </w:t>
      </w:r>
      <w:r w:rsidR="00B3629B" w:rsidRPr="004E5686">
        <w:rPr>
          <w:rFonts w:ascii="Palatino Linotype" w:eastAsia="Times New Roman" w:hAnsi="Palatino Linotype"/>
          <w:color w:val="000000"/>
          <w:lang w:val="en-GB"/>
        </w:rPr>
        <w:t>in a special issue</w:t>
      </w:r>
      <w:r w:rsidR="003D22FC" w:rsidRPr="004E5686">
        <w:rPr>
          <w:rFonts w:ascii="Palatino Linotype" w:eastAsia="Times New Roman" w:hAnsi="Palatino Linotype"/>
          <w:color w:val="000000"/>
          <w:lang w:val="en-GB"/>
        </w:rPr>
        <w:t xml:space="preserve"> </w:t>
      </w:r>
      <w:r w:rsidR="00B3629B" w:rsidRPr="004E5686">
        <w:rPr>
          <w:rFonts w:ascii="Palatino Linotype" w:eastAsia="Times New Roman" w:hAnsi="Palatino Linotype"/>
          <w:color w:val="000000"/>
          <w:lang w:val="en-GB"/>
        </w:rPr>
        <w:t>of</w:t>
      </w:r>
      <w:r w:rsidR="003D22FC" w:rsidRPr="004E5686">
        <w:rPr>
          <w:rFonts w:ascii="Palatino Linotype" w:eastAsia="Times New Roman" w:hAnsi="Palatino Linotype"/>
          <w:color w:val="000000"/>
          <w:lang w:val="en-GB"/>
        </w:rPr>
        <w:t xml:space="preserve"> Economia Marche, Journal of Applied Economics</w:t>
      </w:r>
      <w:r w:rsidR="00B033FA" w:rsidRPr="004E5686">
        <w:rPr>
          <w:rFonts w:ascii="Palatino Linotype" w:eastAsia="Times New Roman" w:hAnsi="Palatino Linotype"/>
          <w:color w:val="000000"/>
          <w:lang w:val="en-GB"/>
        </w:rPr>
        <w:t>.</w:t>
      </w:r>
    </w:p>
    <w:p w14:paraId="5883D730" w14:textId="77777777" w:rsidR="00B033FA" w:rsidRPr="004E5686" w:rsidRDefault="00B033FA" w:rsidP="004E5686">
      <w:pPr>
        <w:jc w:val="both"/>
        <w:rPr>
          <w:rFonts w:ascii="Palatino Linotype" w:eastAsia="Times New Roman" w:hAnsi="Palatino Linotype"/>
          <w:color w:val="000000"/>
          <w:lang w:val="en-GB"/>
        </w:rPr>
      </w:pPr>
    </w:p>
    <w:p w14:paraId="56505142" w14:textId="77777777" w:rsidR="00900BE3" w:rsidRDefault="00900BE3" w:rsidP="004E5686">
      <w:pPr>
        <w:jc w:val="both"/>
        <w:rPr>
          <w:rFonts w:ascii="Palatino Linotype" w:hAnsi="Palatino Linotype"/>
          <w:b/>
          <w:bCs/>
          <w:color w:val="000000" w:themeColor="text1"/>
          <w:lang w:val="en-GB"/>
        </w:rPr>
      </w:pPr>
    </w:p>
    <w:p w14:paraId="5B77EF53" w14:textId="79E4B713" w:rsidR="001124E0" w:rsidRDefault="00456180" w:rsidP="004E5686">
      <w:pPr>
        <w:jc w:val="both"/>
        <w:rPr>
          <w:rFonts w:ascii="Palatino Linotype" w:hAnsi="Palatino Linotype"/>
          <w:b/>
          <w:bCs/>
          <w:color w:val="000000" w:themeColor="text1"/>
          <w:lang w:val="en-GB"/>
        </w:rPr>
      </w:pPr>
      <w:r w:rsidRPr="004E5686">
        <w:rPr>
          <w:rFonts w:ascii="Palatino Linotype" w:hAnsi="Palatino Linotype"/>
          <w:b/>
          <w:bCs/>
          <w:color w:val="000000" w:themeColor="text1"/>
          <w:lang w:val="en-GB"/>
        </w:rPr>
        <w:t>Submission information</w:t>
      </w:r>
      <w:r w:rsidR="008C1ADD" w:rsidRPr="004E5686">
        <w:rPr>
          <w:rFonts w:ascii="Palatino Linotype" w:hAnsi="Palatino Linotype"/>
          <w:b/>
          <w:bCs/>
          <w:color w:val="000000" w:themeColor="text1"/>
          <w:lang w:val="en-GB"/>
        </w:rPr>
        <w:t xml:space="preserve">: </w:t>
      </w:r>
    </w:p>
    <w:p w14:paraId="55FB395B" w14:textId="6CED0223" w:rsidR="00456180" w:rsidRPr="004E5686" w:rsidRDefault="00456180" w:rsidP="004E5686">
      <w:pPr>
        <w:jc w:val="both"/>
        <w:rPr>
          <w:rFonts w:ascii="Palatino Linotype" w:hAnsi="Palatino Linotype"/>
          <w:color w:val="000000"/>
          <w:lang w:val="en-GB"/>
        </w:rPr>
      </w:pPr>
      <w:r w:rsidRPr="004E5686">
        <w:rPr>
          <w:rFonts w:ascii="Palatino Linotype" w:hAnsi="Palatino Linotype"/>
          <w:color w:val="000000" w:themeColor="text1"/>
          <w:lang w:val="en-GB"/>
        </w:rPr>
        <w:t>Extended abstracts of about 300-500 words may be submitted to the address:</w:t>
      </w:r>
      <w:r w:rsidR="00136539" w:rsidRPr="004E5686">
        <w:rPr>
          <w:rFonts w:ascii="Palatino Linotype" w:hAnsi="Palatino Linotype"/>
          <w:color w:val="000000" w:themeColor="text1"/>
          <w:lang w:val="en-GB"/>
        </w:rPr>
        <w:t xml:space="preserve"> </w:t>
      </w:r>
      <w:hyperlink r:id="rId11" w:history="1">
        <w:r w:rsidR="00CF0B62" w:rsidRPr="004E5686">
          <w:rPr>
            <w:rStyle w:val="Hyperlink"/>
            <w:rFonts w:ascii="Palatino Linotype" w:eastAsia="Times New Roman" w:hAnsi="Palatino Linotype"/>
            <w:lang w:val="en-GB"/>
          </w:rPr>
          <w:t>redete@unibl.org</w:t>
        </w:r>
      </w:hyperlink>
      <w:r w:rsidR="00CF0B62" w:rsidRPr="004E5686">
        <w:rPr>
          <w:rFonts w:ascii="Palatino Linotype" w:hAnsi="Palatino Linotype"/>
          <w:color w:val="000000" w:themeColor="text1"/>
          <w:lang w:val="en-GB"/>
        </w:rPr>
        <w:t xml:space="preserve"> </w:t>
      </w:r>
    </w:p>
    <w:p w14:paraId="3127AF9D" w14:textId="4ECABA8B" w:rsidR="00C76255" w:rsidRPr="005A1928" w:rsidRDefault="00C76255" w:rsidP="00C76255">
      <w:pPr>
        <w:pStyle w:val="Default"/>
        <w:jc w:val="both"/>
        <w:rPr>
          <w:rFonts w:cs="Times New Roman"/>
          <w:sz w:val="22"/>
          <w:szCs w:val="22"/>
          <w:lang w:val="en-GB"/>
        </w:rPr>
      </w:pPr>
      <w:r w:rsidRPr="005A1928">
        <w:rPr>
          <w:rFonts w:cs="Times New Roman"/>
          <w:sz w:val="22"/>
          <w:szCs w:val="22"/>
          <w:lang w:val="en-GB"/>
        </w:rPr>
        <w:t xml:space="preserve">It is possible to submit a maximum of 2 Abstracts/Papers per person. </w:t>
      </w:r>
    </w:p>
    <w:p w14:paraId="6D492882" w14:textId="3601B409" w:rsidR="007A0CA7" w:rsidRPr="004E5686" w:rsidRDefault="004F27F3" w:rsidP="004E5686">
      <w:pPr>
        <w:jc w:val="both"/>
        <w:rPr>
          <w:rFonts w:ascii="Palatino Linotype" w:hAnsi="Palatino Linotype"/>
          <w:color w:val="000000"/>
          <w:lang w:val="en-GB"/>
        </w:rPr>
      </w:pPr>
      <w:r w:rsidRPr="004E5686">
        <w:rPr>
          <w:rFonts w:ascii="Palatino Linotype" w:hAnsi="Palatino Linotype"/>
          <w:color w:val="000000" w:themeColor="text1"/>
          <w:lang w:val="en-GB"/>
        </w:rPr>
        <w:t xml:space="preserve">If you would like to organise a </w:t>
      </w:r>
      <w:r w:rsidRPr="004E5686">
        <w:rPr>
          <w:rFonts w:ascii="Palatino Linotype" w:hAnsi="Palatino Linotype"/>
          <w:b/>
          <w:bCs/>
          <w:color w:val="000000" w:themeColor="text1"/>
          <w:lang w:val="en-GB"/>
        </w:rPr>
        <w:t>Special Session</w:t>
      </w:r>
      <w:r w:rsidRPr="004E5686">
        <w:rPr>
          <w:rFonts w:ascii="Palatino Linotype" w:hAnsi="Palatino Linotype"/>
          <w:color w:val="000000" w:themeColor="text1"/>
          <w:lang w:val="en-GB"/>
        </w:rPr>
        <w:t xml:space="preserve">, please </w:t>
      </w:r>
      <w:r w:rsidR="001D7B9D" w:rsidRPr="004E5686">
        <w:rPr>
          <w:rFonts w:ascii="Palatino Linotype" w:hAnsi="Palatino Linotype"/>
          <w:color w:val="000000" w:themeColor="text1"/>
          <w:lang w:val="en-GB"/>
        </w:rPr>
        <w:t xml:space="preserve">send a proposal </w:t>
      </w:r>
      <w:r w:rsidR="00DA707F">
        <w:rPr>
          <w:rFonts w:ascii="Palatino Linotype" w:hAnsi="Palatino Linotype"/>
          <w:color w:val="000000" w:themeColor="text1"/>
          <w:lang w:val="en-GB"/>
        </w:rPr>
        <w:t>(t</w:t>
      </w:r>
      <w:r w:rsidR="001D7B9D" w:rsidRPr="004E5686">
        <w:rPr>
          <w:rFonts w:ascii="Palatino Linotype" w:hAnsi="Palatino Linotype"/>
          <w:color w:val="000000" w:themeColor="text1"/>
          <w:lang w:val="en-GB"/>
        </w:rPr>
        <w:t>itle</w:t>
      </w:r>
      <w:r w:rsidR="00DA707F">
        <w:rPr>
          <w:rFonts w:ascii="Palatino Linotype" w:hAnsi="Palatino Linotype"/>
          <w:color w:val="000000" w:themeColor="text1"/>
          <w:lang w:val="en-GB"/>
        </w:rPr>
        <w:t>,</w:t>
      </w:r>
      <w:r w:rsidR="001D7B9D" w:rsidRPr="004E5686">
        <w:rPr>
          <w:rFonts w:ascii="Palatino Linotype" w:hAnsi="Palatino Linotype"/>
          <w:color w:val="000000" w:themeColor="text1"/>
          <w:lang w:val="en-GB"/>
        </w:rPr>
        <w:t xml:space="preserve"> </w:t>
      </w:r>
      <w:r w:rsidR="00CD02AA" w:rsidRPr="004E5686">
        <w:rPr>
          <w:rFonts w:ascii="Palatino Linotype" w:hAnsi="Palatino Linotype"/>
          <w:color w:val="000000" w:themeColor="text1"/>
          <w:lang w:val="en-GB"/>
        </w:rPr>
        <w:t>topic</w:t>
      </w:r>
      <w:r w:rsidR="00DA707F">
        <w:rPr>
          <w:rFonts w:ascii="Palatino Linotype" w:hAnsi="Palatino Linotype"/>
          <w:color w:val="000000" w:themeColor="text1"/>
          <w:lang w:val="en-GB"/>
        </w:rPr>
        <w:t>,</w:t>
      </w:r>
      <w:r w:rsidR="00CD02AA" w:rsidRPr="004E5686">
        <w:rPr>
          <w:rFonts w:ascii="Palatino Linotype" w:hAnsi="Palatino Linotype"/>
          <w:color w:val="000000" w:themeColor="text1"/>
          <w:lang w:val="en-GB"/>
        </w:rPr>
        <w:t xml:space="preserve"> organizers</w:t>
      </w:r>
      <w:r w:rsidR="00DA707F">
        <w:rPr>
          <w:rFonts w:ascii="Palatino Linotype" w:hAnsi="Palatino Linotype"/>
          <w:color w:val="000000" w:themeColor="text1"/>
          <w:lang w:val="en-GB"/>
        </w:rPr>
        <w:t>)</w:t>
      </w:r>
      <w:r w:rsidR="00DB28CA" w:rsidRPr="004E5686">
        <w:rPr>
          <w:rFonts w:ascii="Palatino Linotype" w:hAnsi="Palatino Linotype"/>
          <w:color w:val="000000" w:themeColor="text1"/>
          <w:lang w:val="en-GB"/>
        </w:rPr>
        <w:t xml:space="preserve"> to the address: </w:t>
      </w:r>
      <w:r w:rsidR="007A0CA7" w:rsidRPr="004E5686">
        <w:rPr>
          <w:rStyle w:val="Hyperlink"/>
          <w:rFonts w:ascii="Palatino Linotype" w:eastAsia="Times New Roman" w:hAnsi="Palatino Linotype"/>
          <w:lang w:val="en-GB"/>
        </w:rPr>
        <w:t>redete@unibl.org</w:t>
      </w:r>
    </w:p>
    <w:p w14:paraId="4B821BE2" w14:textId="2AA3EA08" w:rsidR="004F27F3" w:rsidRPr="004E5686" w:rsidRDefault="004F27F3" w:rsidP="004E5686">
      <w:pPr>
        <w:jc w:val="both"/>
        <w:rPr>
          <w:rFonts w:ascii="Palatino Linotype" w:hAnsi="Palatino Linotype"/>
          <w:lang w:val="en-GB"/>
        </w:rPr>
      </w:pPr>
    </w:p>
    <w:p w14:paraId="5B1C93DD" w14:textId="51FC19EA" w:rsidR="008C1ADD" w:rsidRPr="004E5686" w:rsidRDefault="00456180" w:rsidP="004E5686">
      <w:pPr>
        <w:jc w:val="both"/>
        <w:rPr>
          <w:rFonts w:ascii="Palatino Linotype" w:hAnsi="Palatino Linotype"/>
          <w:b/>
          <w:bCs/>
          <w:color w:val="000000"/>
          <w:lang w:val="en-GB"/>
        </w:rPr>
      </w:pPr>
      <w:r w:rsidRPr="004E5686">
        <w:rPr>
          <w:rFonts w:ascii="Palatino Linotype" w:hAnsi="Palatino Linotype"/>
          <w:b/>
          <w:bCs/>
          <w:color w:val="000000" w:themeColor="text1"/>
          <w:lang w:val="en-GB"/>
        </w:rPr>
        <w:t>Important dates</w:t>
      </w:r>
      <w:r w:rsidR="000E279C" w:rsidRPr="004E5686">
        <w:rPr>
          <w:rFonts w:ascii="Palatino Linotype" w:hAnsi="Palatino Linotype"/>
          <w:b/>
          <w:bCs/>
          <w:color w:val="000000" w:themeColor="text1"/>
          <w:lang w:val="en-GB"/>
        </w:rPr>
        <w:t>:</w:t>
      </w:r>
    </w:p>
    <w:p w14:paraId="55FB3960" w14:textId="113A4BAC" w:rsidR="00456180" w:rsidRPr="004E5686" w:rsidRDefault="614B68AA" w:rsidP="004E5686">
      <w:pPr>
        <w:jc w:val="both"/>
        <w:rPr>
          <w:rFonts w:ascii="Palatino Linotype" w:hAnsi="Palatino Linotype"/>
          <w:lang w:val="en-GB"/>
        </w:rPr>
      </w:pPr>
      <w:r w:rsidRPr="004E5686">
        <w:rPr>
          <w:rFonts w:ascii="Palatino Linotype" w:hAnsi="Palatino Linotype"/>
          <w:color w:val="000000" w:themeColor="text1"/>
          <w:lang w:val="en-GB"/>
        </w:rPr>
        <w:t>May 31, 2022  </w:t>
      </w:r>
      <w:r w:rsidR="00456180" w:rsidRPr="004E5686">
        <w:rPr>
          <w:rFonts w:ascii="Palatino Linotype" w:hAnsi="Palatino Linotype"/>
          <w:color w:val="000000" w:themeColor="text1"/>
          <w:lang w:val="en-GB"/>
        </w:rPr>
        <w:t>    </w:t>
      </w:r>
      <w:r w:rsidR="00456180" w:rsidRPr="004E5686">
        <w:rPr>
          <w:rFonts w:ascii="Palatino Linotype" w:hAnsi="Palatino Linotype"/>
          <w:lang w:val="en-GB"/>
        </w:rPr>
        <w:tab/>
      </w:r>
      <w:r w:rsidR="00456180" w:rsidRPr="004E5686">
        <w:rPr>
          <w:rFonts w:ascii="Palatino Linotype" w:hAnsi="Palatino Linotype"/>
          <w:color w:val="000000" w:themeColor="text1"/>
          <w:lang w:val="en-GB"/>
        </w:rPr>
        <w:t xml:space="preserve">-           </w:t>
      </w:r>
      <w:r w:rsidR="00456180" w:rsidRPr="004E5686">
        <w:rPr>
          <w:rFonts w:ascii="Palatino Linotype" w:hAnsi="Palatino Linotype"/>
          <w:lang w:val="en-GB"/>
        </w:rPr>
        <w:tab/>
      </w:r>
      <w:r w:rsidR="00456180" w:rsidRPr="004E5686">
        <w:rPr>
          <w:rFonts w:ascii="Palatino Linotype" w:hAnsi="Palatino Linotype"/>
          <w:color w:val="000000" w:themeColor="text1"/>
          <w:lang w:val="en-GB"/>
        </w:rPr>
        <w:t>Abstracts submission close</w:t>
      </w:r>
    </w:p>
    <w:p w14:paraId="55FB3961" w14:textId="0C9006B6" w:rsidR="00456180" w:rsidRPr="004E5686" w:rsidRDefault="1BEF9DBD" w:rsidP="004E5686">
      <w:pPr>
        <w:jc w:val="both"/>
        <w:rPr>
          <w:rFonts w:ascii="Palatino Linotype" w:hAnsi="Palatino Linotype"/>
          <w:lang w:val="en-GB"/>
        </w:rPr>
      </w:pPr>
      <w:r w:rsidRPr="004E5686">
        <w:rPr>
          <w:rFonts w:ascii="Palatino Linotype" w:hAnsi="Palatino Linotype"/>
          <w:color w:val="000000" w:themeColor="text1"/>
          <w:lang w:val="en-GB"/>
        </w:rPr>
        <w:t>June 30</w:t>
      </w:r>
      <w:r w:rsidR="1F96DCE2" w:rsidRPr="004E5686">
        <w:rPr>
          <w:rFonts w:ascii="Palatino Linotype" w:hAnsi="Palatino Linotype"/>
          <w:color w:val="000000" w:themeColor="text1"/>
          <w:lang w:val="en-GB"/>
        </w:rPr>
        <w:t>, 2022</w:t>
      </w:r>
      <w:r w:rsidR="00456180" w:rsidRPr="004E5686">
        <w:rPr>
          <w:rFonts w:ascii="Palatino Linotype" w:hAnsi="Palatino Linotype"/>
          <w:color w:val="000000" w:themeColor="text1"/>
          <w:lang w:val="en-GB"/>
        </w:rPr>
        <w:t xml:space="preserve">          </w:t>
      </w:r>
      <w:r w:rsidR="00326903" w:rsidRPr="004E5686">
        <w:rPr>
          <w:rFonts w:ascii="Palatino Linotype" w:hAnsi="Palatino Linotype"/>
          <w:lang w:val="en-GB"/>
        </w:rPr>
        <w:tab/>
      </w:r>
      <w:r w:rsidR="00456180" w:rsidRPr="004E5686">
        <w:rPr>
          <w:rFonts w:ascii="Palatino Linotype" w:hAnsi="Palatino Linotype"/>
          <w:color w:val="000000" w:themeColor="text1"/>
          <w:lang w:val="en-GB"/>
        </w:rPr>
        <w:t xml:space="preserve">-           </w:t>
      </w:r>
      <w:r w:rsidR="00326903" w:rsidRPr="004E5686">
        <w:rPr>
          <w:rFonts w:ascii="Palatino Linotype" w:hAnsi="Palatino Linotype"/>
          <w:lang w:val="en-GB"/>
        </w:rPr>
        <w:tab/>
      </w:r>
      <w:r w:rsidR="00456180" w:rsidRPr="004E5686">
        <w:rPr>
          <w:rFonts w:ascii="Palatino Linotype" w:hAnsi="Palatino Linotype"/>
          <w:color w:val="000000" w:themeColor="text1"/>
          <w:lang w:val="en-GB"/>
        </w:rPr>
        <w:t>Notification of acceptance</w:t>
      </w:r>
    </w:p>
    <w:p w14:paraId="55FB3962" w14:textId="37C5603F" w:rsidR="00456180" w:rsidRPr="004E5686" w:rsidRDefault="6F02D981" w:rsidP="004E5686">
      <w:pPr>
        <w:jc w:val="both"/>
        <w:rPr>
          <w:rFonts w:ascii="Palatino Linotype" w:hAnsi="Palatino Linotype"/>
          <w:lang w:val="en-GB"/>
        </w:rPr>
      </w:pPr>
      <w:r w:rsidRPr="004E5686">
        <w:rPr>
          <w:rFonts w:ascii="Palatino Linotype" w:hAnsi="Palatino Linotype"/>
          <w:color w:val="000000" w:themeColor="text1"/>
          <w:lang w:val="en-GB"/>
        </w:rPr>
        <w:t>July 3</w:t>
      </w:r>
      <w:r w:rsidR="00221E7B" w:rsidRPr="004E5686">
        <w:rPr>
          <w:rFonts w:ascii="Palatino Linotype" w:hAnsi="Palatino Linotype"/>
          <w:color w:val="000000" w:themeColor="text1"/>
          <w:lang w:val="en-GB"/>
        </w:rPr>
        <w:t>1</w:t>
      </w:r>
      <w:r w:rsidR="2F91E5D8" w:rsidRPr="004E5686">
        <w:rPr>
          <w:rFonts w:ascii="Palatino Linotype" w:hAnsi="Palatino Linotype"/>
          <w:color w:val="000000" w:themeColor="text1"/>
          <w:lang w:val="en-GB"/>
        </w:rPr>
        <w:t>, 2022</w:t>
      </w:r>
      <w:r w:rsidR="00456180" w:rsidRPr="004E5686">
        <w:rPr>
          <w:rFonts w:ascii="Palatino Linotype" w:hAnsi="Palatino Linotype"/>
          <w:color w:val="000000" w:themeColor="text1"/>
          <w:lang w:val="en-GB"/>
        </w:rPr>
        <w:t xml:space="preserve">     </w:t>
      </w:r>
      <w:r w:rsidRPr="004E5686">
        <w:rPr>
          <w:rFonts w:ascii="Palatino Linotype" w:hAnsi="Palatino Linotype"/>
          <w:lang w:val="en-GB"/>
        </w:rPr>
        <w:tab/>
      </w:r>
      <w:r w:rsidR="00456180" w:rsidRPr="004E5686">
        <w:rPr>
          <w:rFonts w:ascii="Palatino Linotype" w:hAnsi="Palatino Linotype"/>
          <w:color w:val="000000" w:themeColor="text1"/>
          <w:lang w:val="en-GB"/>
        </w:rPr>
        <w:t>-          </w:t>
      </w:r>
      <w:r w:rsidRPr="004E5686">
        <w:rPr>
          <w:rFonts w:ascii="Palatino Linotype" w:hAnsi="Palatino Linotype"/>
          <w:lang w:val="en-GB"/>
        </w:rPr>
        <w:tab/>
      </w:r>
      <w:r w:rsidR="007D15B0" w:rsidRPr="004E5686">
        <w:rPr>
          <w:rFonts w:ascii="Palatino Linotype" w:hAnsi="Palatino Linotype"/>
          <w:color w:val="000000" w:themeColor="text1"/>
          <w:lang w:val="en-GB"/>
        </w:rPr>
        <w:t>R</w:t>
      </w:r>
      <w:r w:rsidR="003D3865" w:rsidRPr="004E5686">
        <w:rPr>
          <w:rFonts w:ascii="Palatino Linotype" w:hAnsi="Palatino Linotype"/>
          <w:color w:val="000000" w:themeColor="text1"/>
          <w:lang w:val="en-GB"/>
        </w:rPr>
        <w:t>egistration close</w:t>
      </w:r>
      <w:r w:rsidR="00456180" w:rsidRPr="004E5686">
        <w:rPr>
          <w:rFonts w:ascii="Palatino Linotype" w:hAnsi="Palatino Linotype"/>
          <w:color w:val="000000" w:themeColor="text1"/>
          <w:lang w:val="en-GB"/>
        </w:rPr>
        <w:t xml:space="preserve"> </w:t>
      </w:r>
    </w:p>
    <w:p w14:paraId="44D315BF" w14:textId="77777777" w:rsidR="0090756A" w:rsidRDefault="0090756A" w:rsidP="004E5686">
      <w:pPr>
        <w:jc w:val="both"/>
        <w:rPr>
          <w:rFonts w:ascii="Palatino Linotype" w:hAnsi="Palatino Linotype"/>
          <w:color w:val="000000" w:themeColor="text1"/>
          <w:lang w:val="en-GB"/>
        </w:rPr>
      </w:pPr>
    </w:p>
    <w:p w14:paraId="55FB3967" w14:textId="30DA614A" w:rsidR="00456180" w:rsidRPr="004E5686" w:rsidRDefault="00456180" w:rsidP="004E5686">
      <w:pPr>
        <w:jc w:val="both"/>
        <w:rPr>
          <w:rFonts w:ascii="Palatino Linotype" w:hAnsi="Palatino Linotype"/>
          <w:lang w:val="en-GB"/>
        </w:rPr>
      </w:pPr>
      <w:r w:rsidRPr="004E5686">
        <w:rPr>
          <w:rFonts w:ascii="Palatino Linotype" w:hAnsi="Palatino Linotype"/>
          <w:color w:val="000000" w:themeColor="text1"/>
          <w:lang w:val="en-GB"/>
        </w:rPr>
        <w:t>For all relevant information about the Conference please visit the website:</w:t>
      </w:r>
      <w:r w:rsidR="008C1ADD" w:rsidRPr="004E5686">
        <w:rPr>
          <w:rFonts w:ascii="Palatino Linotype" w:hAnsi="Palatino Linotype"/>
          <w:color w:val="000000" w:themeColor="text1"/>
          <w:lang w:val="en-GB"/>
        </w:rPr>
        <w:t xml:space="preserve"> </w:t>
      </w:r>
      <w:hyperlink r:id="rId12">
        <w:r w:rsidRPr="0090756A">
          <w:rPr>
            <w:rStyle w:val="Hyperlink"/>
            <w:rFonts w:ascii="Palatino Linotype" w:hAnsi="Palatino Linotype"/>
            <w:b/>
            <w:bCs/>
            <w:lang w:val="en-GB"/>
          </w:rPr>
          <w:t>http://www.redete.org/</w:t>
        </w:r>
      </w:hyperlink>
    </w:p>
    <w:p w14:paraId="1258E2E4" w14:textId="26EFA150" w:rsidR="47C14CC6" w:rsidRPr="006A666E" w:rsidRDefault="47C14CC6" w:rsidP="004E5686">
      <w:pPr>
        <w:jc w:val="both"/>
        <w:rPr>
          <w:rFonts w:ascii="Palatino Linotype" w:eastAsia="Calibri" w:hAnsi="Palatino Linotype"/>
          <w:color w:val="FF0000"/>
          <w:lang w:val="en-GB"/>
        </w:rPr>
      </w:pPr>
    </w:p>
    <w:p w14:paraId="20FD7A82" w14:textId="1FD8F957" w:rsidR="008C1ADD" w:rsidRPr="001C7D93" w:rsidRDefault="47C14CC6" w:rsidP="004E5686">
      <w:pPr>
        <w:jc w:val="both"/>
        <w:rPr>
          <w:rFonts w:ascii="Palatino Linotype" w:hAnsi="Palatino Linotype"/>
          <w:color w:val="FF0000"/>
          <w:sz w:val="26"/>
          <w:szCs w:val="26"/>
        </w:rPr>
      </w:pPr>
      <w:r w:rsidRPr="001C7D93">
        <w:rPr>
          <w:rFonts w:ascii="Palatino Linotype" w:hAnsi="Palatino Linotype"/>
          <w:color w:val="FF0000"/>
          <w:sz w:val="26"/>
          <w:szCs w:val="26"/>
        </w:rPr>
        <w:t xml:space="preserve">Organizing Committee </w:t>
      </w:r>
    </w:p>
    <w:p w14:paraId="0DF8C79F" w14:textId="4BB56D0F" w:rsidR="6B056100" w:rsidRDefault="00004475" w:rsidP="004E5686">
      <w:pPr>
        <w:jc w:val="both"/>
        <w:rPr>
          <w:rFonts w:ascii="Palatino Linotype" w:hAnsi="Palatino Linotype"/>
        </w:rPr>
      </w:pPr>
      <w:r w:rsidRPr="004E5686">
        <w:rPr>
          <w:rFonts w:ascii="Palatino Linotype" w:hAnsi="Palatino Linotype"/>
        </w:rPr>
        <w:t>Center for Innovation and Entrepreneurship – Università Politecnica delle Marche</w:t>
      </w:r>
    </w:p>
    <w:p w14:paraId="0A25B91C" w14:textId="77777777" w:rsidR="002F4BC4" w:rsidRPr="001D65F8" w:rsidRDefault="002F4BC4" w:rsidP="004E5686">
      <w:pPr>
        <w:jc w:val="both"/>
        <w:rPr>
          <w:rFonts w:ascii="Palatino Linotype" w:hAnsi="Palatino Linotype"/>
          <w:sz w:val="10"/>
          <w:szCs w:val="10"/>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5374"/>
      </w:tblGrid>
      <w:tr w:rsidR="002F4BC4" w14:paraId="36F212E4" w14:textId="77777777" w:rsidTr="00FD56A5">
        <w:tc>
          <w:tcPr>
            <w:tcW w:w="4825" w:type="dxa"/>
          </w:tcPr>
          <w:p w14:paraId="260F0A07" w14:textId="77777777" w:rsidR="002F4BC4" w:rsidRPr="004E5686" w:rsidRDefault="002F4BC4" w:rsidP="002F4BC4">
            <w:pPr>
              <w:jc w:val="both"/>
              <w:rPr>
                <w:rFonts w:ascii="Palatino Linotype" w:hAnsi="Palatino Linotype"/>
              </w:rPr>
            </w:pPr>
            <w:r w:rsidRPr="004E5686">
              <w:rPr>
                <w:rFonts w:ascii="Palatino Linotype" w:hAnsi="Palatino Linotype"/>
              </w:rPr>
              <w:t>Diego D’Adda</w:t>
            </w:r>
          </w:p>
          <w:p w14:paraId="2A007461" w14:textId="77777777" w:rsidR="002F4BC4" w:rsidRPr="004E5686" w:rsidRDefault="002F4BC4" w:rsidP="002F4BC4">
            <w:pPr>
              <w:jc w:val="both"/>
              <w:rPr>
                <w:rFonts w:ascii="Palatino Linotype" w:hAnsi="Palatino Linotype"/>
              </w:rPr>
            </w:pPr>
            <w:r w:rsidRPr="004E5686">
              <w:rPr>
                <w:rFonts w:ascii="Palatino Linotype" w:hAnsi="Palatino Linotype"/>
              </w:rPr>
              <w:t>Valentina Giannini</w:t>
            </w:r>
          </w:p>
          <w:p w14:paraId="6E7D6BCD" w14:textId="77777777" w:rsidR="002F4BC4" w:rsidRPr="004E5686" w:rsidRDefault="002F4BC4" w:rsidP="002F4BC4">
            <w:pPr>
              <w:jc w:val="both"/>
              <w:rPr>
                <w:rFonts w:ascii="Palatino Linotype" w:hAnsi="Palatino Linotype"/>
              </w:rPr>
            </w:pPr>
            <w:r w:rsidRPr="004E5686">
              <w:rPr>
                <w:rFonts w:ascii="Palatino Linotype" w:hAnsi="Palatino Linotype"/>
              </w:rPr>
              <w:t>Donato Iacobucci</w:t>
            </w:r>
          </w:p>
          <w:p w14:paraId="5C9D8B03" w14:textId="77777777" w:rsidR="002F4BC4" w:rsidRPr="004E5686" w:rsidRDefault="002F4BC4" w:rsidP="002F4BC4">
            <w:pPr>
              <w:jc w:val="both"/>
              <w:rPr>
                <w:rFonts w:ascii="Palatino Linotype" w:hAnsi="Palatino Linotype"/>
              </w:rPr>
            </w:pPr>
            <w:r w:rsidRPr="004E5686">
              <w:rPr>
                <w:rFonts w:ascii="Palatino Linotype" w:hAnsi="Palatino Linotype"/>
              </w:rPr>
              <w:t>Francesco Perugini</w:t>
            </w:r>
          </w:p>
          <w:p w14:paraId="3367A13E" w14:textId="77777777" w:rsidR="002F4BC4" w:rsidRDefault="002F4BC4" w:rsidP="004E5686">
            <w:pPr>
              <w:jc w:val="both"/>
              <w:rPr>
                <w:rFonts w:ascii="Palatino Linotype" w:hAnsi="Palatino Linotype"/>
              </w:rPr>
            </w:pPr>
          </w:p>
        </w:tc>
        <w:tc>
          <w:tcPr>
            <w:tcW w:w="5374" w:type="dxa"/>
          </w:tcPr>
          <w:p w14:paraId="2E421303" w14:textId="77777777" w:rsidR="002F4BC4" w:rsidRPr="004E5686" w:rsidRDefault="002F4BC4" w:rsidP="002F4BC4">
            <w:pPr>
              <w:ind w:left="32"/>
              <w:jc w:val="both"/>
              <w:rPr>
                <w:rFonts w:ascii="Palatino Linotype" w:hAnsi="Palatino Linotype"/>
              </w:rPr>
            </w:pPr>
            <w:r w:rsidRPr="004E5686">
              <w:rPr>
                <w:rFonts w:ascii="Palatino Linotype" w:hAnsi="Palatino Linotype"/>
              </w:rPr>
              <w:t>Roberta Ruggeri</w:t>
            </w:r>
          </w:p>
          <w:p w14:paraId="37E02219" w14:textId="77777777" w:rsidR="002F4BC4" w:rsidRPr="004E5686" w:rsidRDefault="002F4BC4" w:rsidP="002F4BC4">
            <w:pPr>
              <w:ind w:left="32"/>
              <w:jc w:val="both"/>
              <w:rPr>
                <w:rFonts w:ascii="Palatino Linotype" w:hAnsi="Palatino Linotype"/>
              </w:rPr>
            </w:pPr>
            <w:r w:rsidRPr="004E5686">
              <w:rPr>
                <w:rFonts w:ascii="Palatino Linotype" w:hAnsi="Palatino Linotype"/>
              </w:rPr>
              <w:t>Paolo Seri</w:t>
            </w:r>
          </w:p>
          <w:p w14:paraId="2C88E1EA" w14:textId="77777777" w:rsidR="002F4BC4" w:rsidRPr="004E5686" w:rsidRDefault="002F4BC4" w:rsidP="002F4BC4">
            <w:pPr>
              <w:ind w:left="32"/>
              <w:jc w:val="both"/>
              <w:rPr>
                <w:rFonts w:ascii="Palatino Linotype" w:hAnsi="Palatino Linotype"/>
              </w:rPr>
            </w:pPr>
            <w:r w:rsidRPr="004E5686">
              <w:rPr>
                <w:rFonts w:ascii="Palatino Linotype" w:hAnsi="Palatino Linotype"/>
              </w:rPr>
              <w:t>Paolo Sospiro</w:t>
            </w:r>
          </w:p>
          <w:p w14:paraId="29A19587" w14:textId="77777777" w:rsidR="002F4BC4" w:rsidRDefault="002F4BC4" w:rsidP="004E5686">
            <w:pPr>
              <w:jc w:val="both"/>
              <w:rPr>
                <w:rFonts w:ascii="Palatino Linotype" w:hAnsi="Palatino Linotype"/>
              </w:rPr>
            </w:pPr>
          </w:p>
        </w:tc>
      </w:tr>
    </w:tbl>
    <w:p w14:paraId="012F8A04" w14:textId="16F58E93" w:rsidR="00330FC7" w:rsidRPr="001C7D93" w:rsidRDefault="00330FC7" w:rsidP="004E5686">
      <w:pPr>
        <w:jc w:val="both"/>
        <w:rPr>
          <w:rFonts w:ascii="Palatino Linotype" w:hAnsi="Palatino Linotype"/>
          <w:color w:val="FF0000"/>
          <w:sz w:val="26"/>
          <w:szCs w:val="26"/>
        </w:rPr>
      </w:pPr>
      <w:r w:rsidRPr="001C7D93">
        <w:rPr>
          <w:rFonts w:ascii="Palatino Linotype" w:hAnsi="Palatino Linotype"/>
          <w:color w:val="FF0000"/>
          <w:sz w:val="26"/>
          <w:szCs w:val="26"/>
        </w:rPr>
        <w:t xml:space="preserve">Scientific committee </w:t>
      </w:r>
    </w:p>
    <w:tbl>
      <w:tblPr>
        <w:tblStyle w:val="Tabellenraster"/>
        <w:tblW w:w="0" w:type="auto"/>
        <w:tblInd w:w="-5" w:type="dxa"/>
        <w:tblLook w:val="04A0" w:firstRow="1" w:lastRow="0" w:firstColumn="1" w:lastColumn="0" w:noHBand="0" w:noVBand="1"/>
      </w:tblPr>
      <w:tblGrid>
        <w:gridCol w:w="4820"/>
        <w:gridCol w:w="5379"/>
      </w:tblGrid>
      <w:tr w:rsidR="002F4BC4" w14:paraId="59999183" w14:textId="77777777" w:rsidTr="001D65F8">
        <w:tc>
          <w:tcPr>
            <w:tcW w:w="4820" w:type="dxa"/>
            <w:tcBorders>
              <w:top w:val="nil"/>
              <w:left w:val="nil"/>
              <w:bottom w:val="nil"/>
              <w:right w:val="nil"/>
            </w:tcBorders>
          </w:tcPr>
          <w:p w14:paraId="55EDDFFF" w14:textId="77777777" w:rsidR="002F4BC4" w:rsidRPr="002F4BC4" w:rsidRDefault="002F4BC4" w:rsidP="002F4BC4">
            <w:pPr>
              <w:jc w:val="both"/>
              <w:rPr>
                <w:rFonts w:ascii="Palatino Linotype" w:hAnsi="Palatino Linotype"/>
                <w:lang w:val="en-GB"/>
              </w:rPr>
            </w:pPr>
            <w:r w:rsidRPr="002F4BC4">
              <w:rPr>
                <w:rFonts w:ascii="Palatino Linotype" w:hAnsi="Palatino Linotype"/>
                <w:b/>
                <w:bCs/>
                <w:lang w:val="en-GB"/>
              </w:rPr>
              <w:t>Jovo Ateljević</w:t>
            </w:r>
            <w:r w:rsidRPr="002F4BC4">
              <w:rPr>
                <w:rFonts w:ascii="Palatino Linotype" w:hAnsi="Palatino Linotype"/>
                <w:lang w:val="en-GB"/>
              </w:rPr>
              <w:t xml:space="preserve">, </w:t>
            </w:r>
            <w:r w:rsidRPr="002F4BC4">
              <w:rPr>
                <w:rFonts w:ascii="Palatino Linotype" w:hAnsi="Palatino Linotype"/>
                <w:sz w:val="20"/>
                <w:szCs w:val="20"/>
                <w:lang w:val="en-GB"/>
              </w:rPr>
              <w:t>University of Banja Luka</w:t>
            </w:r>
          </w:p>
          <w:p w14:paraId="21B70D1C" w14:textId="77777777" w:rsidR="002F4BC4" w:rsidRPr="00E731D9" w:rsidRDefault="002F4BC4" w:rsidP="002F4BC4">
            <w:pPr>
              <w:jc w:val="both"/>
              <w:rPr>
                <w:rFonts w:ascii="Palatino Linotype" w:hAnsi="Palatino Linotype"/>
                <w:sz w:val="20"/>
                <w:szCs w:val="20"/>
              </w:rPr>
            </w:pPr>
            <w:r w:rsidRPr="002F4BC4">
              <w:rPr>
                <w:rFonts w:ascii="Palatino Linotype" w:hAnsi="Palatino Linotype"/>
                <w:b/>
                <w:bCs/>
              </w:rPr>
              <w:t>Giulia Bettin</w:t>
            </w:r>
            <w:r w:rsidRPr="004E5686">
              <w:rPr>
                <w:rFonts w:ascii="Palatino Linotype" w:hAnsi="Palatino Linotype"/>
              </w:rPr>
              <w:t xml:space="preserve">, </w:t>
            </w:r>
            <w:r w:rsidRPr="00E731D9">
              <w:rPr>
                <w:rFonts w:ascii="Palatino Linotype" w:hAnsi="Palatino Linotype"/>
                <w:sz w:val="20"/>
                <w:szCs w:val="20"/>
              </w:rPr>
              <w:t>Università Politecnica delle Marche</w:t>
            </w:r>
          </w:p>
          <w:p w14:paraId="067EABFD" w14:textId="77777777" w:rsidR="002F4BC4" w:rsidRPr="002F4BC4" w:rsidRDefault="002F4BC4" w:rsidP="002F4BC4">
            <w:pPr>
              <w:jc w:val="both"/>
              <w:rPr>
                <w:rFonts w:ascii="Palatino Linotype" w:hAnsi="Palatino Linotype"/>
              </w:rPr>
            </w:pPr>
            <w:r w:rsidRPr="002F4BC4">
              <w:rPr>
                <w:rFonts w:ascii="Palatino Linotype" w:hAnsi="Palatino Linotype"/>
                <w:b/>
                <w:bCs/>
              </w:rPr>
              <w:t>Ron A. Boschma</w:t>
            </w:r>
            <w:r w:rsidRPr="002F4BC4">
              <w:rPr>
                <w:rFonts w:ascii="Palatino Linotype" w:hAnsi="Palatino Linotype"/>
              </w:rPr>
              <w:t xml:space="preserve">, </w:t>
            </w:r>
            <w:r w:rsidRPr="00E731D9">
              <w:rPr>
                <w:rFonts w:ascii="Palatino Linotype" w:hAnsi="Palatino Linotype"/>
                <w:sz w:val="20"/>
                <w:szCs w:val="20"/>
              </w:rPr>
              <w:t>Utrecht University</w:t>
            </w:r>
          </w:p>
          <w:p w14:paraId="4498C0F5" w14:textId="77777777" w:rsidR="002F4BC4" w:rsidRPr="004E5686" w:rsidRDefault="002F4BC4" w:rsidP="002F4BC4">
            <w:pPr>
              <w:jc w:val="both"/>
              <w:rPr>
                <w:rFonts w:ascii="Palatino Linotype" w:eastAsia="Calibri" w:hAnsi="Palatino Linotype"/>
              </w:rPr>
            </w:pPr>
            <w:r w:rsidRPr="002F4BC4">
              <w:rPr>
                <w:rFonts w:ascii="Palatino Linotype" w:hAnsi="Palatino Linotype"/>
                <w:b/>
                <w:bCs/>
              </w:rPr>
              <w:t>Roberta Capello</w:t>
            </w:r>
            <w:r w:rsidRPr="004E5686">
              <w:rPr>
                <w:rFonts w:ascii="Palatino Linotype" w:eastAsia="Calibri" w:hAnsi="Palatino Linotype"/>
              </w:rPr>
              <w:t xml:space="preserve">, </w:t>
            </w:r>
            <w:r w:rsidRPr="00E731D9">
              <w:rPr>
                <w:rFonts w:ascii="Palatino Linotype" w:hAnsi="Palatino Linotype"/>
                <w:sz w:val="20"/>
                <w:szCs w:val="20"/>
              </w:rPr>
              <w:t>Politecnico di Milano</w:t>
            </w:r>
          </w:p>
          <w:p w14:paraId="332F4BC0" w14:textId="0D2B84F3" w:rsidR="002F4BC4" w:rsidRPr="002F4BC4" w:rsidRDefault="002F4BC4" w:rsidP="002F4BC4">
            <w:pPr>
              <w:jc w:val="both"/>
              <w:rPr>
                <w:rFonts w:ascii="Palatino Linotype" w:hAnsi="Palatino Linotype"/>
                <w:sz w:val="20"/>
                <w:szCs w:val="20"/>
              </w:rPr>
            </w:pPr>
            <w:r w:rsidRPr="002F4BC4">
              <w:rPr>
                <w:rFonts w:ascii="Palatino Linotype" w:hAnsi="Palatino Linotype"/>
                <w:b/>
                <w:bCs/>
              </w:rPr>
              <w:t>Marco R. Di Tommaso</w:t>
            </w:r>
            <w:r w:rsidRPr="004E5686">
              <w:rPr>
                <w:rFonts w:ascii="Palatino Linotype" w:eastAsia="Calibri" w:hAnsi="Palatino Linotype"/>
              </w:rPr>
              <w:t xml:space="preserve">, </w:t>
            </w:r>
            <w:r w:rsidRPr="002F4BC4">
              <w:rPr>
                <w:rFonts w:ascii="Palatino Linotype" w:hAnsi="Palatino Linotype"/>
                <w:sz w:val="20"/>
                <w:szCs w:val="20"/>
              </w:rPr>
              <w:t>Università di Bologna</w:t>
            </w:r>
          </w:p>
          <w:p w14:paraId="294CFF41" w14:textId="77777777" w:rsidR="002F4BC4" w:rsidRDefault="002F4BC4" w:rsidP="00041BD5">
            <w:pPr>
              <w:jc w:val="both"/>
              <w:rPr>
                <w:rFonts w:ascii="Palatino Linotype" w:hAnsi="Palatino Linotype"/>
              </w:rPr>
            </w:pPr>
          </w:p>
        </w:tc>
        <w:tc>
          <w:tcPr>
            <w:tcW w:w="5379" w:type="dxa"/>
            <w:tcBorders>
              <w:top w:val="nil"/>
              <w:left w:val="nil"/>
              <w:bottom w:val="nil"/>
              <w:right w:val="nil"/>
            </w:tcBorders>
          </w:tcPr>
          <w:p w14:paraId="4584441E" w14:textId="77777777" w:rsidR="002F4BC4" w:rsidRPr="00E731D9" w:rsidRDefault="002F4BC4" w:rsidP="002F4BC4">
            <w:pPr>
              <w:ind w:left="32"/>
              <w:jc w:val="both"/>
              <w:rPr>
                <w:rFonts w:ascii="Palatino Linotype" w:hAnsi="Palatino Linotype"/>
                <w:lang w:val="en-GB"/>
              </w:rPr>
            </w:pPr>
            <w:r w:rsidRPr="002F4BC4">
              <w:rPr>
                <w:rFonts w:ascii="Palatino Linotype" w:hAnsi="Palatino Linotype"/>
                <w:b/>
                <w:bCs/>
                <w:lang w:val="en-GB"/>
              </w:rPr>
              <w:t>Vassilis K. Fouskas</w:t>
            </w:r>
            <w:r w:rsidRPr="00E731D9">
              <w:rPr>
                <w:rFonts w:ascii="Palatino Linotype" w:hAnsi="Palatino Linotype"/>
                <w:lang w:val="en-GB"/>
              </w:rPr>
              <w:t xml:space="preserve">, </w:t>
            </w:r>
            <w:r w:rsidRPr="002F4BC4">
              <w:rPr>
                <w:rFonts w:ascii="Palatino Linotype" w:hAnsi="Palatino Linotype"/>
                <w:sz w:val="20"/>
                <w:szCs w:val="20"/>
                <w:lang w:val="en-GB"/>
              </w:rPr>
              <w:t>University of East London</w:t>
            </w:r>
            <w:r w:rsidRPr="00E731D9">
              <w:rPr>
                <w:rFonts w:ascii="Palatino Linotype" w:hAnsi="Palatino Linotype"/>
                <w:lang w:val="en-GB"/>
              </w:rPr>
              <w:t xml:space="preserve"> </w:t>
            </w:r>
          </w:p>
          <w:p w14:paraId="7E360012" w14:textId="77777777" w:rsidR="002F4BC4" w:rsidRPr="00E731D9" w:rsidRDefault="002F4BC4" w:rsidP="002F4BC4">
            <w:pPr>
              <w:ind w:left="32"/>
              <w:jc w:val="both"/>
              <w:rPr>
                <w:rFonts w:ascii="Palatino Linotype" w:hAnsi="Palatino Linotype"/>
                <w:lang w:val="en-GB"/>
              </w:rPr>
            </w:pPr>
            <w:r w:rsidRPr="002F4BC4">
              <w:rPr>
                <w:rFonts w:ascii="Palatino Linotype" w:hAnsi="Palatino Linotype"/>
                <w:b/>
                <w:bCs/>
                <w:lang w:val="en-GB"/>
              </w:rPr>
              <w:t>Peter Rosa</w:t>
            </w:r>
            <w:r w:rsidRPr="00E731D9">
              <w:rPr>
                <w:rFonts w:ascii="Palatino Linotype" w:hAnsi="Palatino Linotype"/>
                <w:lang w:val="en-GB"/>
              </w:rPr>
              <w:t xml:space="preserve">, </w:t>
            </w:r>
            <w:r w:rsidRPr="002F4BC4">
              <w:rPr>
                <w:rFonts w:ascii="Palatino Linotype" w:hAnsi="Palatino Linotype"/>
                <w:sz w:val="20"/>
                <w:szCs w:val="20"/>
                <w:lang w:val="en-GB"/>
              </w:rPr>
              <w:t>University of Edinburgh</w:t>
            </w:r>
          </w:p>
          <w:p w14:paraId="78ADB62F" w14:textId="77777777" w:rsidR="002F4BC4" w:rsidRPr="00E731D9" w:rsidRDefault="002F4BC4" w:rsidP="002F4BC4">
            <w:pPr>
              <w:ind w:left="32"/>
              <w:jc w:val="both"/>
              <w:rPr>
                <w:rFonts w:ascii="Palatino Linotype" w:hAnsi="Palatino Linotype"/>
                <w:lang w:val="en-GB"/>
              </w:rPr>
            </w:pPr>
            <w:r w:rsidRPr="002F4BC4">
              <w:rPr>
                <w:rFonts w:ascii="Palatino Linotype" w:hAnsi="Palatino Linotype"/>
                <w:b/>
                <w:bCs/>
                <w:lang w:val="en-GB"/>
              </w:rPr>
              <w:t>Shampa Roy-Mukherjee</w:t>
            </w:r>
            <w:r w:rsidRPr="00E731D9">
              <w:rPr>
                <w:rFonts w:ascii="Palatino Linotype" w:hAnsi="Palatino Linotype"/>
                <w:lang w:val="en-GB"/>
              </w:rPr>
              <w:t xml:space="preserve">, </w:t>
            </w:r>
            <w:r w:rsidRPr="002F4BC4">
              <w:rPr>
                <w:rFonts w:ascii="Palatino Linotype" w:hAnsi="Palatino Linotype"/>
                <w:sz w:val="20"/>
                <w:szCs w:val="20"/>
                <w:lang w:val="en-GB"/>
              </w:rPr>
              <w:t>University of East London</w:t>
            </w:r>
          </w:p>
          <w:p w14:paraId="3B332ED2" w14:textId="77777777" w:rsidR="002F4BC4" w:rsidRPr="002F4BC4" w:rsidRDefault="002F4BC4" w:rsidP="002F4BC4">
            <w:pPr>
              <w:ind w:left="32"/>
              <w:jc w:val="both"/>
              <w:rPr>
                <w:rFonts w:ascii="Palatino Linotype" w:hAnsi="Palatino Linotype"/>
                <w:sz w:val="20"/>
                <w:szCs w:val="20"/>
                <w:lang w:val="en-GB"/>
              </w:rPr>
            </w:pPr>
            <w:r w:rsidRPr="001D65F8">
              <w:rPr>
                <w:rFonts w:ascii="Palatino Linotype" w:hAnsi="Palatino Linotype"/>
                <w:b/>
                <w:bCs/>
                <w:lang w:val="en-GB"/>
              </w:rPr>
              <w:t>Roy Thurik</w:t>
            </w:r>
            <w:r w:rsidRPr="002F4BC4">
              <w:rPr>
                <w:rFonts w:ascii="Palatino Linotype" w:hAnsi="Palatino Linotype"/>
              </w:rPr>
              <w:t xml:space="preserve">, </w:t>
            </w:r>
            <w:r w:rsidRPr="002F4BC4">
              <w:rPr>
                <w:rFonts w:ascii="Palatino Linotype" w:hAnsi="Palatino Linotype"/>
                <w:sz w:val="20"/>
                <w:szCs w:val="20"/>
                <w:lang w:val="en-GB"/>
              </w:rPr>
              <w:t>Erasmus University Rotterdam</w:t>
            </w:r>
          </w:p>
          <w:p w14:paraId="5213B87E" w14:textId="77777777" w:rsidR="002F4BC4" w:rsidRDefault="002F4BC4" w:rsidP="002F4BC4">
            <w:pPr>
              <w:ind w:left="32"/>
              <w:jc w:val="both"/>
              <w:rPr>
                <w:rFonts w:ascii="Palatino Linotype" w:hAnsi="Palatino Linotype"/>
              </w:rPr>
            </w:pPr>
          </w:p>
        </w:tc>
      </w:tr>
    </w:tbl>
    <w:p w14:paraId="7A5E3CA8" w14:textId="375B2C25" w:rsidR="00F54A82" w:rsidRPr="004E5686" w:rsidRDefault="00F54A82" w:rsidP="004E5686">
      <w:pPr>
        <w:jc w:val="both"/>
        <w:rPr>
          <w:rFonts w:ascii="Palatino Linotype" w:eastAsia="Calibri" w:hAnsi="Palatino Linotype"/>
          <w:color w:val="FF0000"/>
          <w:sz w:val="28"/>
          <w:szCs w:val="28"/>
          <w:lang w:val="en-GB"/>
        </w:rPr>
      </w:pPr>
      <w:r w:rsidRPr="00051A29">
        <w:rPr>
          <w:rFonts w:ascii="Palatino Linotype" w:hAnsi="Palatino Linotype"/>
          <w:color w:val="FF0000"/>
          <w:sz w:val="26"/>
          <w:szCs w:val="26"/>
          <w:lang w:val="en-GB"/>
        </w:rPr>
        <w:t>Conference advisor</w:t>
      </w:r>
    </w:p>
    <w:p w14:paraId="5B7E5FBB" w14:textId="24054CE7" w:rsidR="00F54A82" w:rsidRPr="004E5686" w:rsidRDefault="00F54A82" w:rsidP="004E5686">
      <w:pPr>
        <w:jc w:val="both"/>
        <w:rPr>
          <w:rFonts w:ascii="Palatino Linotype" w:eastAsia="Calibri" w:hAnsi="Palatino Linotype"/>
          <w:lang w:val="en-GB"/>
        </w:rPr>
      </w:pPr>
      <w:r w:rsidRPr="00E731D9">
        <w:rPr>
          <w:rFonts w:ascii="Palatino Linotype" w:hAnsi="Palatino Linotype"/>
          <w:b/>
          <w:bCs/>
          <w:lang w:val="en-GB"/>
        </w:rPr>
        <w:t>Vassilis K. Fouskas</w:t>
      </w:r>
      <w:r w:rsidR="00D43715" w:rsidRPr="004E5686">
        <w:rPr>
          <w:rFonts w:ascii="Palatino Linotype" w:eastAsia="Calibri" w:hAnsi="Palatino Linotype"/>
          <w:lang w:val="en-GB"/>
        </w:rPr>
        <w:t>, University of East London</w:t>
      </w:r>
    </w:p>
    <w:p w14:paraId="6788605C" w14:textId="77777777" w:rsidR="00025F78" w:rsidRPr="00051A29" w:rsidRDefault="00025F78" w:rsidP="001C7D93">
      <w:pPr>
        <w:jc w:val="both"/>
        <w:rPr>
          <w:rFonts w:ascii="Palatino Linotype" w:hAnsi="Palatino Linotype"/>
          <w:color w:val="FF0000"/>
          <w:sz w:val="26"/>
          <w:szCs w:val="26"/>
          <w:lang w:val="en-GB"/>
        </w:rPr>
      </w:pPr>
    </w:p>
    <w:p w14:paraId="7651E0DA" w14:textId="6F81F45C" w:rsidR="004E5686" w:rsidRPr="00051A29" w:rsidRDefault="004E5686" w:rsidP="001C7D93">
      <w:pPr>
        <w:jc w:val="both"/>
        <w:rPr>
          <w:rFonts w:ascii="Palatino Linotype" w:hAnsi="Palatino Linotype"/>
          <w:color w:val="FF0000"/>
          <w:sz w:val="26"/>
          <w:szCs w:val="26"/>
          <w:lang w:val="en-GB"/>
        </w:rPr>
      </w:pPr>
      <w:r w:rsidRPr="00051A29">
        <w:rPr>
          <w:rFonts w:ascii="Palatino Linotype" w:hAnsi="Palatino Linotype"/>
          <w:color w:val="FF0000"/>
          <w:sz w:val="26"/>
          <w:szCs w:val="26"/>
          <w:lang w:val="en-GB"/>
        </w:rPr>
        <w:t xml:space="preserve">Notes </w:t>
      </w:r>
    </w:p>
    <w:p w14:paraId="3E2C0AB9" w14:textId="7716F94E" w:rsidR="004E5686" w:rsidRPr="005A1928" w:rsidRDefault="004E5686" w:rsidP="004E5686">
      <w:pPr>
        <w:pStyle w:val="Default"/>
        <w:jc w:val="both"/>
        <w:rPr>
          <w:sz w:val="22"/>
          <w:szCs w:val="22"/>
          <w:lang w:val="en-GB"/>
        </w:rPr>
      </w:pPr>
      <w:r w:rsidRPr="005A1928">
        <w:rPr>
          <w:rFonts w:cs="Times New Roman"/>
          <w:sz w:val="22"/>
          <w:szCs w:val="22"/>
          <w:lang w:val="en-GB"/>
        </w:rPr>
        <w:t xml:space="preserve">The event is free, but registration is limited, so </w:t>
      </w:r>
      <w:hyperlink r:id="rId13" w:history="1">
        <w:r w:rsidRPr="005A1928">
          <w:rPr>
            <w:rStyle w:val="Hyperlink"/>
            <w:rFonts w:cs="Times New Roman"/>
            <w:sz w:val="22"/>
            <w:szCs w:val="22"/>
            <w:lang w:val="en-GB"/>
          </w:rPr>
          <w:t>book now</w:t>
        </w:r>
      </w:hyperlink>
      <w:r w:rsidRPr="005A1928">
        <w:rPr>
          <w:rFonts w:cs="Times New Roman"/>
          <w:color w:val="0000FF"/>
          <w:sz w:val="22"/>
          <w:szCs w:val="22"/>
          <w:lang w:val="en-GB"/>
        </w:rPr>
        <w:t xml:space="preserve"> </w:t>
      </w:r>
      <w:r w:rsidRPr="005A1928">
        <w:rPr>
          <w:rFonts w:cs="Times New Roman"/>
          <w:sz w:val="22"/>
          <w:szCs w:val="22"/>
          <w:lang w:val="en-GB"/>
        </w:rPr>
        <w:t xml:space="preserve">to avoid disappointment. </w:t>
      </w:r>
    </w:p>
    <w:p w14:paraId="2F5071D7" w14:textId="77777777" w:rsidR="00F005D6" w:rsidRPr="005A1928" w:rsidRDefault="00F005D6" w:rsidP="004E5686">
      <w:pPr>
        <w:pStyle w:val="Default"/>
        <w:jc w:val="both"/>
        <w:rPr>
          <w:rFonts w:cs="Times New Roman"/>
          <w:sz w:val="22"/>
          <w:szCs w:val="22"/>
          <w:lang w:val="en-GB"/>
        </w:rPr>
      </w:pPr>
    </w:p>
    <w:p w14:paraId="61E1268C" w14:textId="70BEA2F8" w:rsidR="004E5686" w:rsidRDefault="004E5686" w:rsidP="004E5686">
      <w:pPr>
        <w:pStyle w:val="Default"/>
        <w:jc w:val="both"/>
        <w:rPr>
          <w:rFonts w:cs="Times New Roman"/>
          <w:sz w:val="22"/>
          <w:szCs w:val="22"/>
          <w:lang w:val="en-GB"/>
        </w:rPr>
      </w:pPr>
      <w:r w:rsidRPr="005A1928">
        <w:rPr>
          <w:rFonts w:cs="Times New Roman"/>
          <w:sz w:val="22"/>
          <w:szCs w:val="22"/>
          <w:lang w:val="en-GB"/>
        </w:rPr>
        <w:t>The AII Permanent Secretariat will support the REDETE conference encouraging the participation of young researchers and students from Western Balkans</w:t>
      </w:r>
      <w:r w:rsidR="007E637E">
        <w:rPr>
          <w:rFonts w:cs="Times New Roman"/>
          <w:sz w:val="22"/>
          <w:szCs w:val="22"/>
          <w:lang w:val="en-GB"/>
        </w:rPr>
        <w:t>,</w:t>
      </w:r>
      <w:r w:rsidRPr="005A1928">
        <w:rPr>
          <w:rFonts w:cs="Times New Roman"/>
          <w:sz w:val="22"/>
          <w:szCs w:val="22"/>
          <w:lang w:val="en-GB"/>
        </w:rPr>
        <w:t xml:space="preserve"> up to 35 years of age. The AII will provide </w:t>
      </w:r>
      <w:hyperlink r:id="rId14" w:history="1">
        <w:r w:rsidRPr="00341ED5">
          <w:rPr>
            <w:rStyle w:val="Hyperlink"/>
            <w:rFonts w:cs="Times New Roman"/>
            <w:sz w:val="22"/>
            <w:szCs w:val="22"/>
            <w:lang w:val="en-GB"/>
          </w:rPr>
          <w:t>reimbursement of travel and accommodation</w:t>
        </w:r>
      </w:hyperlink>
      <w:r w:rsidRPr="005A1928">
        <w:rPr>
          <w:rFonts w:cs="Times New Roman"/>
          <w:sz w:val="22"/>
          <w:szCs w:val="22"/>
          <w:lang w:val="en-GB"/>
        </w:rPr>
        <w:t xml:space="preserve"> expenses. </w:t>
      </w:r>
    </w:p>
    <w:p w14:paraId="0532D522" w14:textId="77777777" w:rsidR="005A1928" w:rsidRPr="005A1928" w:rsidRDefault="005A1928" w:rsidP="004E5686">
      <w:pPr>
        <w:pStyle w:val="Default"/>
        <w:jc w:val="both"/>
        <w:rPr>
          <w:sz w:val="22"/>
          <w:szCs w:val="22"/>
          <w:lang w:val="en-GB"/>
        </w:rPr>
      </w:pPr>
    </w:p>
    <w:p w14:paraId="7FD74C6B" w14:textId="0DD642AA" w:rsidR="005037F6" w:rsidRDefault="004E5686" w:rsidP="005037F6">
      <w:pPr>
        <w:rPr>
          <w:rFonts w:ascii="Palatino Linotype" w:hAnsi="Palatino Linotype"/>
          <w:color w:val="FF0000"/>
          <w:lang w:val="en-GB"/>
        </w:rPr>
      </w:pPr>
      <w:r w:rsidRPr="00051A29">
        <w:rPr>
          <w:rFonts w:ascii="Palatino Linotype" w:hAnsi="Palatino Linotype"/>
          <w:color w:val="FF0000"/>
          <w:lang w:val="en-GB"/>
        </w:rPr>
        <w:t>We look forward to receiving your proposals and to welcoming you to the 9th REDETE Conference 2022</w:t>
      </w:r>
    </w:p>
    <w:p w14:paraId="6FB97D1D" w14:textId="52656258" w:rsidR="00F5693B" w:rsidRDefault="00F5693B" w:rsidP="005A1928">
      <w:pPr>
        <w:jc w:val="center"/>
        <w:rPr>
          <w:rFonts w:ascii="Palatino Linotype" w:hAnsi="Palatino Linotype"/>
          <w:color w:val="FF0000"/>
          <w:lang w:val="en-GB"/>
        </w:rPr>
      </w:pPr>
    </w:p>
    <w:sectPr w:rsidR="00F5693B" w:rsidSect="00B05B07">
      <w:headerReference w:type="default" r:id="rId15"/>
      <w:footerReference w:type="default" r:id="rId16"/>
      <w:pgSz w:w="11906" w:h="16838" w:code="9"/>
      <w:pgMar w:top="567" w:right="851" w:bottom="567" w:left="851"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08B87" w14:textId="77777777" w:rsidR="005151A5" w:rsidRDefault="005151A5" w:rsidP="0024415B">
      <w:r>
        <w:separator/>
      </w:r>
    </w:p>
  </w:endnote>
  <w:endnote w:type="continuationSeparator" w:id="0">
    <w:p w14:paraId="2473488D" w14:textId="77777777" w:rsidR="005151A5" w:rsidRDefault="005151A5" w:rsidP="0024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2346"/>
      <w:gridCol w:w="1776"/>
      <w:gridCol w:w="2081"/>
      <w:gridCol w:w="2626"/>
    </w:tblGrid>
    <w:tr w:rsidR="000721A5" w14:paraId="63ECF23E" w14:textId="7EC4460F" w:rsidTr="006E2AA3">
      <w:trPr>
        <w:trHeight w:val="593"/>
        <w:jc w:val="center"/>
      </w:trPr>
      <w:tc>
        <w:tcPr>
          <w:tcW w:w="1365" w:type="dxa"/>
        </w:tcPr>
        <w:p w14:paraId="4A019672" w14:textId="10DAFCFD" w:rsidR="000721A5" w:rsidRDefault="000721A5">
          <w:pPr>
            <w:pStyle w:val="Fuzeile"/>
            <w:rPr>
              <w:noProof/>
            </w:rPr>
          </w:pPr>
          <w:r w:rsidRPr="0024415B">
            <w:rPr>
              <w:noProof/>
              <w:lang w:val="de-AT" w:eastAsia="de-AT"/>
            </w:rPr>
            <w:drawing>
              <wp:inline distT="0" distB="0" distL="0" distR="0" wp14:anchorId="3C28250A" wp14:editId="6B21D423">
                <wp:extent cx="614956" cy="603250"/>
                <wp:effectExtent l="0" t="0" r="0" b="6350"/>
                <wp:docPr id="11" name="Picture 1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ock&#10;&#10;Description automatically generated"/>
                        <pic:cNvPicPr/>
                      </pic:nvPicPr>
                      <pic:blipFill>
                        <a:blip r:embed="rId1"/>
                        <a:stretch>
                          <a:fillRect/>
                        </a:stretch>
                      </pic:blipFill>
                      <pic:spPr>
                        <a:xfrm>
                          <a:off x="0" y="0"/>
                          <a:ext cx="622915" cy="611057"/>
                        </a:xfrm>
                        <a:prstGeom prst="rect">
                          <a:avLst/>
                        </a:prstGeom>
                      </pic:spPr>
                    </pic:pic>
                  </a:graphicData>
                </a:graphic>
              </wp:inline>
            </w:drawing>
          </w:r>
        </w:p>
      </w:tc>
      <w:tc>
        <w:tcPr>
          <w:tcW w:w="2346" w:type="dxa"/>
        </w:tcPr>
        <w:p w14:paraId="6968DD41" w14:textId="4E87C79C" w:rsidR="000721A5" w:rsidRPr="0024415B" w:rsidRDefault="000721A5">
          <w:pPr>
            <w:pStyle w:val="Fuzeile"/>
          </w:pPr>
          <w:r>
            <w:rPr>
              <w:noProof/>
              <w:lang w:val="de-AT" w:eastAsia="de-AT"/>
            </w:rPr>
            <w:drawing>
              <wp:inline distT="0" distB="0" distL="0" distR="0" wp14:anchorId="7BD19C9C" wp14:editId="7885850D">
                <wp:extent cx="1289050" cy="508867"/>
                <wp:effectExtent l="0" t="0" r="6350" b="5715"/>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7388" cy="516106"/>
                        </a:xfrm>
                        <a:prstGeom prst="rect">
                          <a:avLst/>
                        </a:prstGeom>
                        <a:noFill/>
                        <a:ln>
                          <a:noFill/>
                        </a:ln>
                      </pic:spPr>
                    </pic:pic>
                  </a:graphicData>
                </a:graphic>
              </wp:inline>
            </w:drawing>
          </w:r>
        </w:p>
      </w:tc>
      <w:tc>
        <w:tcPr>
          <w:tcW w:w="1776" w:type="dxa"/>
        </w:tcPr>
        <w:p w14:paraId="76FD0670" w14:textId="510B956B" w:rsidR="000721A5" w:rsidRPr="00717ED4" w:rsidRDefault="000721A5">
          <w:pPr>
            <w:pStyle w:val="Fuzeile"/>
            <w:rPr>
              <w:noProof/>
            </w:rPr>
          </w:pPr>
          <w:r w:rsidRPr="00717ED4">
            <w:rPr>
              <w:noProof/>
              <w:lang w:val="de-AT" w:eastAsia="de-AT"/>
            </w:rPr>
            <w:drawing>
              <wp:inline distT="0" distB="0" distL="0" distR="0" wp14:anchorId="4470159E" wp14:editId="1AFA2FE2">
                <wp:extent cx="984250" cy="443766"/>
                <wp:effectExtent l="0" t="0" r="635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3"/>
                        <a:stretch>
                          <a:fillRect/>
                        </a:stretch>
                      </pic:blipFill>
                      <pic:spPr>
                        <a:xfrm>
                          <a:off x="0" y="0"/>
                          <a:ext cx="986513" cy="444786"/>
                        </a:xfrm>
                        <a:prstGeom prst="rect">
                          <a:avLst/>
                        </a:prstGeom>
                      </pic:spPr>
                    </pic:pic>
                  </a:graphicData>
                </a:graphic>
              </wp:inline>
            </w:drawing>
          </w:r>
        </w:p>
      </w:tc>
      <w:tc>
        <w:tcPr>
          <w:tcW w:w="2081" w:type="dxa"/>
        </w:tcPr>
        <w:p w14:paraId="354558A6" w14:textId="69552A61" w:rsidR="000721A5" w:rsidRDefault="000721A5">
          <w:pPr>
            <w:pStyle w:val="Fuzeile"/>
            <w:rPr>
              <w:noProof/>
            </w:rPr>
          </w:pPr>
          <w:r>
            <w:rPr>
              <w:noProof/>
              <w:lang w:val="de-AT" w:eastAsia="de-AT"/>
            </w:rPr>
            <w:drawing>
              <wp:inline distT="0" distB="0" distL="0" distR="0" wp14:anchorId="0347B438" wp14:editId="2F37A7E8">
                <wp:extent cx="1169592" cy="443230"/>
                <wp:effectExtent l="0" t="0" r="0" b="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3258" cy="452199"/>
                        </a:xfrm>
                        <a:prstGeom prst="rect">
                          <a:avLst/>
                        </a:prstGeom>
                        <a:noFill/>
                        <a:ln>
                          <a:noFill/>
                        </a:ln>
                      </pic:spPr>
                    </pic:pic>
                  </a:graphicData>
                </a:graphic>
              </wp:inline>
            </w:drawing>
          </w:r>
        </w:p>
      </w:tc>
      <w:tc>
        <w:tcPr>
          <w:tcW w:w="2626" w:type="dxa"/>
        </w:tcPr>
        <w:p w14:paraId="2F349980" w14:textId="44BEEEF6" w:rsidR="000721A5" w:rsidRDefault="000721A5">
          <w:pPr>
            <w:pStyle w:val="Fuzeile"/>
            <w:rPr>
              <w:noProof/>
            </w:rPr>
          </w:pPr>
          <w:r>
            <w:rPr>
              <w:noProof/>
              <w:lang w:val="de-AT" w:eastAsia="de-AT"/>
            </w:rPr>
            <w:drawing>
              <wp:inline distT="0" distB="0" distL="0" distR="0" wp14:anchorId="6BE21D52" wp14:editId="5C8BB757">
                <wp:extent cx="1530350" cy="611756"/>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157" t="10425" b="12991"/>
                        <a:stretch/>
                      </pic:blipFill>
                      <pic:spPr bwMode="auto">
                        <a:xfrm>
                          <a:off x="0" y="0"/>
                          <a:ext cx="1547540" cy="6186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93412B" w14:textId="7DED9AC3" w:rsidR="0024415B" w:rsidRDefault="0024415B" w:rsidP="00626EDA">
    <w:pPr>
      <w:pStyle w:val="Fuzeile"/>
      <w:tabs>
        <w:tab w:val="clear"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0B287" w14:textId="77777777" w:rsidR="005151A5" w:rsidRDefault="005151A5" w:rsidP="0024415B">
      <w:r>
        <w:separator/>
      </w:r>
    </w:p>
  </w:footnote>
  <w:footnote w:type="continuationSeparator" w:id="0">
    <w:p w14:paraId="1290C054" w14:textId="77777777" w:rsidR="005151A5" w:rsidRDefault="005151A5" w:rsidP="0024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EA66" w14:textId="65D59854" w:rsidR="00E74AB0" w:rsidRDefault="00E74AB0">
    <w:pPr>
      <w:pStyle w:val="Kopfzeile"/>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848"/>
      <w:gridCol w:w="3169"/>
      <w:gridCol w:w="319"/>
      <w:gridCol w:w="1326"/>
      <w:gridCol w:w="1416"/>
    </w:tblGrid>
    <w:tr w:rsidR="00FE6455" w14:paraId="58F86DD2" w14:textId="77777777" w:rsidTr="006E18C1">
      <w:trPr>
        <w:trHeight w:val="593"/>
        <w:jc w:val="center"/>
      </w:trPr>
      <w:tc>
        <w:tcPr>
          <w:tcW w:w="2857" w:type="dxa"/>
        </w:tcPr>
        <w:p w14:paraId="1B822293" w14:textId="0B5FB9D3" w:rsidR="00E74AB0" w:rsidRPr="00717ED4" w:rsidRDefault="00DD53A4" w:rsidP="00E74AB0">
          <w:pPr>
            <w:pStyle w:val="Fuzeile"/>
          </w:pPr>
          <w:r w:rsidRPr="001D65B1">
            <w:rPr>
              <w:noProof/>
              <w:lang w:val="de-AT" w:eastAsia="de-AT"/>
            </w:rPr>
            <w:drawing>
              <wp:inline distT="0" distB="0" distL="0" distR="0" wp14:anchorId="72688819" wp14:editId="1BCAB6FF">
                <wp:extent cx="1838738" cy="704850"/>
                <wp:effectExtent l="0" t="0" r="9525"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stretch>
                          <a:fillRect/>
                        </a:stretch>
                      </pic:blipFill>
                      <pic:spPr>
                        <a:xfrm>
                          <a:off x="0" y="0"/>
                          <a:ext cx="1855359" cy="711221"/>
                        </a:xfrm>
                        <a:prstGeom prst="rect">
                          <a:avLst/>
                        </a:prstGeom>
                      </pic:spPr>
                    </pic:pic>
                  </a:graphicData>
                </a:graphic>
              </wp:inline>
            </w:drawing>
          </w:r>
        </w:p>
      </w:tc>
      <w:tc>
        <w:tcPr>
          <w:tcW w:w="934" w:type="dxa"/>
        </w:tcPr>
        <w:p w14:paraId="6A751ADF" w14:textId="3826AB23" w:rsidR="00E74AB0" w:rsidRPr="001D65B1" w:rsidRDefault="00E74AB0" w:rsidP="00E74AB0">
          <w:pPr>
            <w:pStyle w:val="Fuzeile"/>
            <w:rPr>
              <w:noProof/>
            </w:rPr>
          </w:pPr>
        </w:p>
      </w:tc>
      <w:tc>
        <w:tcPr>
          <w:tcW w:w="3575" w:type="dxa"/>
        </w:tcPr>
        <w:p w14:paraId="2994C311" w14:textId="7248B583" w:rsidR="00E74AB0" w:rsidRPr="0024415B" w:rsidRDefault="00E74AB0" w:rsidP="00E74AB0">
          <w:pPr>
            <w:pStyle w:val="Fuzeile"/>
          </w:pPr>
        </w:p>
      </w:tc>
      <w:tc>
        <w:tcPr>
          <w:tcW w:w="332" w:type="dxa"/>
        </w:tcPr>
        <w:p w14:paraId="4B0C25C9" w14:textId="4EAD09E0" w:rsidR="00E74AB0" w:rsidRPr="00717ED4" w:rsidRDefault="00E74AB0" w:rsidP="00E74AB0">
          <w:pPr>
            <w:pStyle w:val="Fuzeile"/>
            <w:rPr>
              <w:noProof/>
            </w:rPr>
          </w:pPr>
        </w:p>
      </w:tc>
      <w:tc>
        <w:tcPr>
          <w:tcW w:w="1240" w:type="dxa"/>
        </w:tcPr>
        <w:p w14:paraId="2C127C38" w14:textId="7014023D" w:rsidR="00E74AB0" w:rsidRDefault="00FE6455" w:rsidP="00E74AB0">
          <w:pPr>
            <w:pStyle w:val="Fuzeile"/>
            <w:rPr>
              <w:noProof/>
            </w:rPr>
          </w:pPr>
          <w:r>
            <w:rPr>
              <w:noProof/>
              <w:lang w:val="de-AT" w:eastAsia="de-AT"/>
            </w:rPr>
            <w:drawing>
              <wp:inline distT="0" distB="0" distL="0" distR="0" wp14:anchorId="4AA6E3FB" wp14:editId="55BB0212">
                <wp:extent cx="704934" cy="70493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711078" cy="711078"/>
                        </a:xfrm>
                        <a:prstGeom prst="rect">
                          <a:avLst/>
                        </a:prstGeom>
                      </pic:spPr>
                    </pic:pic>
                  </a:graphicData>
                </a:graphic>
              </wp:inline>
            </w:drawing>
          </w:r>
        </w:p>
      </w:tc>
      <w:tc>
        <w:tcPr>
          <w:tcW w:w="1256" w:type="dxa"/>
        </w:tcPr>
        <w:p w14:paraId="5C342EE8" w14:textId="6A686710" w:rsidR="00E74AB0" w:rsidRDefault="00F92529" w:rsidP="00E74AB0">
          <w:pPr>
            <w:pStyle w:val="Fuzeile"/>
            <w:rPr>
              <w:noProof/>
            </w:rPr>
          </w:pPr>
          <w:r w:rsidRPr="001D65B1">
            <w:rPr>
              <w:noProof/>
              <w:lang w:val="de-AT" w:eastAsia="de-AT"/>
            </w:rPr>
            <w:drawing>
              <wp:inline distT="0" distB="0" distL="0" distR="0" wp14:anchorId="4246B00C" wp14:editId="2DEB082F">
                <wp:extent cx="762000" cy="721683"/>
                <wp:effectExtent l="0" t="0" r="0" b="254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3"/>
                        <a:stretch>
                          <a:fillRect/>
                        </a:stretch>
                      </pic:blipFill>
                      <pic:spPr>
                        <a:xfrm>
                          <a:off x="0" y="0"/>
                          <a:ext cx="781971" cy="740597"/>
                        </a:xfrm>
                        <a:prstGeom prst="rect">
                          <a:avLst/>
                        </a:prstGeom>
                      </pic:spPr>
                    </pic:pic>
                  </a:graphicData>
                </a:graphic>
              </wp:inline>
            </w:drawing>
          </w:r>
        </w:p>
      </w:tc>
    </w:tr>
  </w:tbl>
  <w:p w14:paraId="6323DA6E" w14:textId="6A82B4AB" w:rsidR="0024415B" w:rsidRDefault="002441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74C3"/>
    <w:multiLevelType w:val="multilevel"/>
    <w:tmpl w:val="4732A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74474B"/>
    <w:multiLevelType w:val="multilevel"/>
    <w:tmpl w:val="9600F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86327D"/>
    <w:multiLevelType w:val="hybridMultilevel"/>
    <w:tmpl w:val="5AFCFD9A"/>
    <w:lvl w:ilvl="0" w:tplc="A5C03702">
      <w:start w:val="1"/>
      <w:numFmt w:val="bullet"/>
      <w:lvlText w:val=""/>
      <w:lvlJc w:val="left"/>
      <w:pPr>
        <w:ind w:left="720" w:hanging="360"/>
      </w:pPr>
      <w:rPr>
        <w:rFonts w:ascii="Symbol" w:hAnsi="Symbol" w:hint="default"/>
      </w:rPr>
    </w:lvl>
    <w:lvl w:ilvl="1" w:tplc="AE48B2F0">
      <w:start w:val="1"/>
      <w:numFmt w:val="bullet"/>
      <w:lvlText w:val="o"/>
      <w:lvlJc w:val="left"/>
      <w:pPr>
        <w:ind w:left="1440" w:hanging="360"/>
      </w:pPr>
      <w:rPr>
        <w:rFonts w:ascii="Courier New" w:hAnsi="Courier New" w:hint="default"/>
      </w:rPr>
    </w:lvl>
    <w:lvl w:ilvl="2" w:tplc="289E9B5E">
      <w:start w:val="1"/>
      <w:numFmt w:val="bullet"/>
      <w:lvlText w:val=""/>
      <w:lvlJc w:val="left"/>
      <w:pPr>
        <w:ind w:left="2160" w:hanging="360"/>
      </w:pPr>
      <w:rPr>
        <w:rFonts w:ascii="Wingdings" w:hAnsi="Wingdings" w:hint="default"/>
      </w:rPr>
    </w:lvl>
    <w:lvl w:ilvl="3" w:tplc="12244CB0">
      <w:start w:val="1"/>
      <w:numFmt w:val="bullet"/>
      <w:lvlText w:val=""/>
      <w:lvlJc w:val="left"/>
      <w:pPr>
        <w:ind w:left="2880" w:hanging="360"/>
      </w:pPr>
      <w:rPr>
        <w:rFonts w:ascii="Symbol" w:hAnsi="Symbol" w:hint="default"/>
      </w:rPr>
    </w:lvl>
    <w:lvl w:ilvl="4" w:tplc="7742B0EE">
      <w:start w:val="1"/>
      <w:numFmt w:val="bullet"/>
      <w:lvlText w:val="o"/>
      <w:lvlJc w:val="left"/>
      <w:pPr>
        <w:ind w:left="3600" w:hanging="360"/>
      </w:pPr>
      <w:rPr>
        <w:rFonts w:ascii="Courier New" w:hAnsi="Courier New" w:hint="default"/>
      </w:rPr>
    </w:lvl>
    <w:lvl w:ilvl="5" w:tplc="385CA44E">
      <w:start w:val="1"/>
      <w:numFmt w:val="bullet"/>
      <w:lvlText w:val=""/>
      <w:lvlJc w:val="left"/>
      <w:pPr>
        <w:ind w:left="4320" w:hanging="360"/>
      </w:pPr>
      <w:rPr>
        <w:rFonts w:ascii="Wingdings" w:hAnsi="Wingdings" w:hint="default"/>
      </w:rPr>
    </w:lvl>
    <w:lvl w:ilvl="6" w:tplc="D57A512E">
      <w:start w:val="1"/>
      <w:numFmt w:val="bullet"/>
      <w:lvlText w:val=""/>
      <w:lvlJc w:val="left"/>
      <w:pPr>
        <w:ind w:left="5040" w:hanging="360"/>
      </w:pPr>
      <w:rPr>
        <w:rFonts w:ascii="Symbol" w:hAnsi="Symbol" w:hint="default"/>
      </w:rPr>
    </w:lvl>
    <w:lvl w:ilvl="7" w:tplc="BA1661E4">
      <w:start w:val="1"/>
      <w:numFmt w:val="bullet"/>
      <w:lvlText w:val="o"/>
      <w:lvlJc w:val="left"/>
      <w:pPr>
        <w:ind w:left="5760" w:hanging="360"/>
      </w:pPr>
      <w:rPr>
        <w:rFonts w:ascii="Courier New" w:hAnsi="Courier New" w:hint="default"/>
      </w:rPr>
    </w:lvl>
    <w:lvl w:ilvl="8" w:tplc="C10EAE42">
      <w:start w:val="1"/>
      <w:numFmt w:val="bullet"/>
      <w:lvlText w:val=""/>
      <w:lvlJc w:val="left"/>
      <w:pPr>
        <w:ind w:left="6480" w:hanging="360"/>
      </w:pPr>
      <w:rPr>
        <w:rFonts w:ascii="Wingdings" w:hAnsi="Wingdings" w:hint="default"/>
      </w:rPr>
    </w:lvl>
  </w:abstractNum>
  <w:abstractNum w:abstractNumId="3" w15:restartNumberingAfterBreak="0">
    <w:nsid w:val="75D07766"/>
    <w:multiLevelType w:val="multilevel"/>
    <w:tmpl w:val="E58007EC"/>
    <w:lvl w:ilvl="0">
      <w:start w:val="1"/>
      <w:numFmt w:val="bullet"/>
      <w:lvlText w:val=""/>
      <w:lvlJc w:val="left"/>
      <w:pPr>
        <w:tabs>
          <w:tab w:val="num" w:pos="720"/>
        </w:tabs>
        <w:ind w:left="720" w:hanging="360"/>
      </w:pPr>
      <w:rPr>
        <w:rFonts w:ascii="Symbol" w:hAnsi="Symbol" w:hint="default"/>
        <w:sz w:val="20"/>
        <w:lang w:val="en-G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6777BB6"/>
    <w:multiLevelType w:val="hybridMultilevel"/>
    <w:tmpl w:val="AA563F96"/>
    <w:lvl w:ilvl="0" w:tplc="D62CE730">
      <w:start w:val="60"/>
      <w:numFmt w:val="bullet"/>
      <w:lvlText w:val="-"/>
      <w:lvlJc w:val="left"/>
      <w:pPr>
        <w:ind w:left="720" w:hanging="360"/>
      </w:pPr>
      <w:rPr>
        <w:rFonts w:ascii="Palatino Linotype" w:eastAsiaTheme="minorHAnsi" w:hAnsi="Palatino Linotype" w:cs="Calibr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7D"/>
    <w:rsid w:val="00004475"/>
    <w:rsid w:val="00012178"/>
    <w:rsid w:val="00025F78"/>
    <w:rsid w:val="00032905"/>
    <w:rsid w:val="000505CC"/>
    <w:rsid w:val="00051A29"/>
    <w:rsid w:val="0006212C"/>
    <w:rsid w:val="0006624A"/>
    <w:rsid w:val="000721A5"/>
    <w:rsid w:val="000A5217"/>
    <w:rsid w:val="000E1835"/>
    <w:rsid w:val="000E279C"/>
    <w:rsid w:val="000E42F4"/>
    <w:rsid w:val="000E5837"/>
    <w:rsid w:val="000E5E9D"/>
    <w:rsid w:val="001010F2"/>
    <w:rsid w:val="00103F37"/>
    <w:rsid w:val="001124E0"/>
    <w:rsid w:val="00136539"/>
    <w:rsid w:val="00140E47"/>
    <w:rsid w:val="0014200D"/>
    <w:rsid w:val="00167743"/>
    <w:rsid w:val="00172B6F"/>
    <w:rsid w:val="00180BAB"/>
    <w:rsid w:val="001865FA"/>
    <w:rsid w:val="001A4AA5"/>
    <w:rsid w:val="001A5814"/>
    <w:rsid w:val="001A786E"/>
    <w:rsid w:val="001B47D7"/>
    <w:rsid w:val="001B5345"/>
    <w:rsid w:val="001C0B1E"/>
    <w:rsid w:val="001C3FC7"/>
    <w:rsid w:val="001C7D93"/>
    <w:rsid w:val="001D56EB"/>
    <w:rsid w:val="001D65B1"/>
    <w:rsid w:val="001D65F8"/>
    <w:rsid w:val="001D7B9D"/>
    <w:rsid w:val="001E71A8"/>
    <w:rsid w:val="00214E05"/>
    <w:rsid w:val="00216163"/>
    <w:rsid w:val="002210B4"/>
    <w:rsid w:val="00221E7B"/>
    <w:rsid w:val="0022638F"/>
    <w:rsid w:val="00231EEB"/>
    <w:rsid w:val="00237460"/>
    <w:rsid w:val="00240049"/>
    <w:rsid w:val="0024415B"/>
    <w:rsid w:val="00284B7B"/>
    <w:rsid w:val="002A07E9"/>
    <w:rsid w:val="002B007D"/>
    <w:rsid w:val="002B148E"/>
    <w:rsid w:val="002B2AFB"/>
    <w:rsid w:val="002B30F5"/>
    <w:rsid w:val="002B484B"/>
    <w:rsid w:val="002B6F7E"/>
    <w:rsid w:val="002C4755"/>
    <w:rsid w:val="002F4BC4"/>
    <w:rsid w:val="002F7186"/>
    <w:rsid w:val="003048F3"/>
    <w:rsid w:val="00326903"/>
    <w:rsid w:val="00330FC7"/>
    <w:rsid w:val="00336950"/>
    <w:rsid w:val="00340C27"/>
    <w:rsid w:val="00341ED5"/>
    <w:rsid w:val="003444FE"/>
    <w:rsid w:val="00344D99"/>
    <w:rsid w:val="00373C71"/>
    <w:rsid w:val="0037571D"/>
    <w:rsid w:val="003A54CA"/>
    <w:rsid w:val="003B2F79"/>
    <w:rsid w:val="003B5EAB"/>
    <w:rsid w:val="003C45E2"/>
    <w:rsid w:val="003C48F1"/>
    <w:rsid w:val="003D22FC"/>
    <w:rsid w:val="003D3865"/>
    <w:rsid w:val="003F40B4"/>
    <w:rsid w:val="004043DD"/>
    <w:rsid w:val="004143E5"/>
    <w:rsid w:val="00427BB1"/>
    <w:rsid w:val="00431174"/>
    <w:rsid w:val="00442BBF"/>
    <w:rsid w:val="00443A5D"/>
    <w:rsid w:val="00456180"/>
    <w:rsid w:val="00464CE9"/>
    <w:rsid w:val="00476BB6"/>
    <w:rsid w:val="004A1908"/>
    <w:rsid w:val="004B592C"/>
    <w:rsid w:val="004C2268"/>
    <w:rsid w:val="004C644F"/>
    <w:rsid w:val="004D3620"/>
    <w:rsid w:val="004E5686"/>
    <w:rsid w:val="004F27F3"/>
    <w:rsid w:val="005037F6"/>
    <w:rsid w:val="005063E2"/>
    <w:rsid w:val="00506C15"/>
    <w:rsid w:val="005151A5"/>
    <w:rsid w:val="00526993"/>
    <w:rsid w:val="005310CE"/>
    <w:rsid w:val="00531DE7"/>
    <w:rsid w:val="005338F1"/>
    <w:rsid w:val="0054431E"/>
    <w:rsid w:val="005506B9"/>
    <w:rsid w:val="00556C2D"/>
    <w:rsid w:val="005603DE"/>
    <w:rsid w:val="00562EB2"/>
    <w:rsid w:val="00567D82"/>
    <w:rsid w:val="005A1928"/>
    <w:rsid w:val="005B0B37"/>
    <w:rsid w:val="005C0A9A"/>
    <w:rsid w:val="005E358A"/>
    <w:rsid w:val="006134B9"/>
    <w:rsid w:val="0061578B"/>
    <w:rsid w:val="006229DF"/>
    <w:rsid w:val="00626EDA"/>
    <w:rsid w:val="00632CAD"/>
    <w:rsid w:val="00666F37"/>
    <w:rsid w:val="00672301"/>
    <w:rsid w:val="0067665E"/>
    <w:rsid w:val="006A666E"/>
    <w:rsid w:val="006B69A5"/>
    <w:rsid w:val="006C0722"/>
    <w:rsid w:val="006C61B8"/>
    <w:rsid w:val="006C6C4D"/>
    <w:rsid w:val="006C7C4B"/>
    <w:rsid w:val="006D0F7B"/>
    <w:rsid w:val="006D1E43"/>
    <w:rsid w:val="006D3FEB"/>
    <w:rsid w:val="006E18C1"/>
    <w:rsid w:val="006E2AA3"/>
    <w:rsid w:val="006E51DB"/>
    <w:rsid w:val="00703943"/>
    <w:rsid w:val="007063BC"/>
    <w:rsid w:val="00715381"/>
    <w:rsid w:val="00716FBA"/>
    <w:rsid w:val="00717ED4"/>
    <w:rsid w:val="00723D5B"/>
    <w:rsid w:val="00731398"/>
    <w:rsid w:val="00761233"/>
    <w:rsid w:val="00766871"/>
    <w:rsid w:val="00795DDF"/>
    <w:rsid w:val="007A0CA7"/>
    <w:rsid w:val="007A68AA"/>
    <w:rsid w:val="007B1283"/>
    <w:rsid w:val="007C0139"/>
    <w:rsid w:val="007D15B0"/>
    <w:rsid w:val="007D2079"/>
    <w:rsid w:val="007D2906"/>
    <w:rsid w:val="007E637E"/>
    <w:rsid w:val="0081601A"/>
    <w:rsid w:val="00817A0E"/>
    <w:rsid w:val="00817B5A"/>
    <w:rsid w:val="00824AAF"/>
    <w:rsid w:val="00850BE4"/>
    <w:rsid w:val="00861B68"/>
    <w:rsid w:val="00870020"/>
    <w:rsid w:val="008717C3"/>
    <w:rsid w:val="008828A8"/>
    <w:rsid w:val="00882D0B"/>
    <w:rsid w:val="00885684"/>
    <w:rsid w:val="00897C16"/>
    <w:rsid w:val="008A0C99"/>
    <w:rsid w:val="008B4AF1"/>
    <w:rsid w:val="008C1ADD"/>
    <w:rsid w:val="008C66B8"/>
    <w:rsid w:val="008D0A02"/>
    <w:rsid w:val="008D4EDC"/>
    <w:rsid w:val="008D6714"/>
    <w:rsid w:val="008E6A17"/>
    <w:rsid w:val="008F72D8"/>
    <w:rsid w:val="00900BE3"/>
    <w:rsid w:val="00904FA3"/>
    <w:rsid w:val="0090756A"/>
    <w:rsid w:val="00925E33"/>
    <w:rsid w:val="00941F05"/>
    <w:rsid w:val="00961EA1"/>
    <w:rsid w:val="00997FFB"/>
    <w:rsid w:val="009A2234"/>
    <w:rsid w:val="009D1014"/>
    <w:rsid w:val="009D6818"/>
    <w:rsid w:val="009E5DBD"/>
    <w:rsid w:val="009E73D4"/>
    <w:rsid w:val="009F1B1B"/>
    <w:rsid w:val="009F5C1D"/>
    <w:rsid w:val="00A06C46"/>
    <w:rsid w:val="00A23141"/>
    <w:rsid w:val="00A26418"/>
    <w:rsid w:val="00A4305C"/>
    <w:rsid w:val="00A51FFA"/>
    <w:rsid w:val="00A548AC"/>
    <w:rsid w:val="00A71AA5"/>
    <w:rsid w:val="00A905DA"/>
    <w:rsid w:val="00A918E7"/>
    <w:rsid w:val="00A96488"/>
    <w:rsid w:val="00AA5446"/>
    <w:rsid w:val="00AB448A"/>
    <w:rsid w:val="00AB6763"/>
    <w:rsid w:val="00AC3612"/>
    <w:rsid w:val="00AC6636"/>
    <w:rsid w:val="00AE4246"/>
    <w:rsid w:val="00B033FA"/>
    <w:rsid w:val="00B0397C"/>
    <w:rsid w:val="00B0490F"/>
    <w:rsid w:val="00B05B07"/>
    <w:rsid w:val="00B152A5"/>
    <w:rsid w:val="00B24216"/>
    <w:rsid w:val="00B27A01"/>
    <w:rsid w:val="00B32E8D"/>
    <w:rsid w:val="00B3629B"/>
    <w:rsid w:val="00B373F7"/>
    <w:rsid w:val="00B429AC"/>
    <w:rsid w:val="00B4485A"/>
    <w:rsid w:val="00B50774"/>
    <w:rsid w:val="00B56786"/>
    <w:rsid w:val="00B7245C"/>
    <w:rsid w:val="00B84B91"/>
    <w:rsid w:val="00B87966"/>
    <w:rsid w:val="00B928FB"/>
    <w:rsid w:val="00B9600C"/>
    <w:rsid w:val="00BB2679"/>
    <w:rsid w:val="00BC2522"/>
    <w:rsid w:val="00BC3099"/>
    <w:rsid w:val="00BD1D7D"/>
    <w:rsid w:val="00BD54E0"/>
    <w:rsid w:val="00BD5A6F"/>
    <w:rsid w:val="00BF4A22"/>
    <w:rsid w:val="00C11404"/>
    <w:rsid w:val="00C73057"/>
    <w:rsid w:val="00C76255"/>
    <w:rsid w:val="00C77023"/>
    <w:rsid w:val="00CA20BC"/>
    <w:rsid w:val="00CC453D"/>
    <w:rsid w:val="00CD02AA"/>
    <w:rsid w:val="00CF0B62"/>
    <w:rsid w:val="00CF7D45"/>
    <w:rsid w:val="00D078A0"/>
    <w:rsid w:val="00D10123"/>
    <w:rsid w:val="00D1411E"/>
    <w:rsid w:val="00D43715"/>
    <w:rsid w:val="00D47CEE"/>
    <w:rsid w:val="00D605F0"/>
    <w:rsid w:val="00D6073E"/>
    <w:rsid w:val="00D80EB0"/>
    <w:rsid w:val="00DA707F"/>
    <w:rsid w:val="00DB28CA"/>
    <w:rsid w:val="00DC4A9A"/>
    <w:rsid w:val="00DD1BF3"/>
    <w:rsid w:val="00DD53A4"/>
    <w:rsid w:val="00DD565F"/>
    <w:rsid w:val="00E00111"/>
    <w:rsid w:val="00E012B8"/>
    <w:rsid w:val="00E10BD4"/>
    <w:rsid w:val="00E11524"/>
    <w:rsid w:val="00E24073"/>
    <w:rsid w:val="00E370BE"/>
    <w:rsid w:val="00E4597B"/>
    <w:rsid w:val="00E47D04"/>
    <w:rsid w:val="00E54923"/>
    <w:rsid w:val="00E71C35"/>
    <w:rsid w:val="00E72DA9"/>
    <w:rsid w:val="00E731D9"/>
    <w:rsid w:val="00E74AB0"/>
    <w:rsid w:val="00E759F1"/>
    <w:rsid w:val="00E83634"/>
    <w:rsid w:val="00E85A34"/>
    <w:rsid w:val="00E93DBA"/>
    <w:rsid w:val="00EC1B2E"/>
    <w:rsid w:val="00EC5137"/>
    <w:rsid w:val="00EC799C"/>
    <w:rsid w:val="00EF51B1"/>
    <w:rsid w:val="00F005D6"/>
    <w:rsid w:val="00F06943"/>
    <w:rsid w:val="00F10243"/>
    <w:rsid w:val="00F15DB2"/>
    <w:rsid w:val="00F33FE4"/>
    <w:rsid w:val="00F4409C"/>
    <w:rsid w:val="00F509B7"/>
    <w:rsid w:val="00F50D4F"/>
    <w:rsid w:val="00F52EFB"/>
    <w:rsid w:val="00F54A82"/>
    <w:rsid w:val="00F5693B"/>
    <w:rsid w:val="00F611BA"/>
    <w:rsid w:val="00F92529"/>
    <w:rsid w:val="00F92EA3"/>
    <w:rsid w:val="00FA3F14"/>
    <w:rsid w:val="00FA4C07"/>
    <w:rsid w:val="00FC3448"/>
    <w:rsid w:val="00FC4339"/>
    <w:rsid w:val="00FC4DC5"/>
    <w:rsid w:val="00FD56A5"/>
    <w:rsid w:val="00FE5E38"/>
    <w:rsid w:val="00FE6455"/>
    <w:rsid w:val="038023F1"/>
    <w:rsid w:val="050059F4"/>
    <w:rsid w:val="052F2418"/>
    <w:rsid w:val="06E6109F"/>
    <w:rsid w:val="08975D13"/>
    <w:rsid w:val="0A09F930"/>
    <w:rsid w:val="0A95C249"/>
    <w:rsid w:val="0AEA307D"/>
    <w:rsid w:val="0C274B99"/>
    <w:rsid w:val="0C842623"/>
    <w:rsid w:val="0D7533EA"/>
    <w:rsid w:val="0FFC52C7"/>
    <w:rsid w:val="10BF34F5"/>
    <w:rsid w:val="123CF79F"/>
    <w:rsid w:val="125B0556"/>
    <w:rsid w:val="13C9F8C1"/>
    <w:rsid w:val="13EEC0B0"/>
    <w:rsid w:val="1676890F"/>
    <w:rsid w:val="17186F12"/>
    <w:rsid w:val="172C2A8E"/>
    <w:rsid w:val="1756E358"/>
    <w:rsid w:val="18012389"/>
    <w:rsid w:val="18557DA7"/>
    <w:rsid w:val="18B43F73"/>
    <w:rsid w:val="19F49A08"/>
    <w:rsid w:val="1B8EC43B"/>
    <w:rsid w:val="1BEF9DBD"/>
    <w:rsid w:val="1CB662E1"/>
    <w:rsid w:val="1D1211DA"/>
    <w:rsid w:val="1D39DF19"/>
    <w:rsid w:val="1EE22474"/>
    <w:rsid w:val="1F48CCE0"/>
    <w:rsid w:val="1F96DCE2"/>
    <w:rsid w:val="20F49069"/>
    <w:rsid w:val="20FC520D"/>
    <w:rsid w:val="213E1797"/>
    <w:rsid w:val="22C66BB5"/>
    <w:rsid w:val="23075F62"/>
    <w:rsid w:val="233B9F4B"/>
    <w:rsid w:val="234EE4AC"/>
    <w:rsid w:val="24AFFE88"/>
    <w:rsid w:val="25101303"/>
    <w:rsid w:val="2648710C"/>
    <w:rsid w:val="2694A688"/>
    <w:rsid w:val="27939E06"/>
    <w:rsid w:val="29CF0E47"/>
    <w:rsid w:val="2BCB29D5"/>
    <w:rsid w:val="2C95B5A0"/>
    <w:rsid w:val="2CDC9E95"/>
    <w:rsid w:val="2EF87710"/>
    <w:rsid w:val="2F120D03"/>
    <w:rsid w:val="2F5E3451"/>
    <w:rsid w:val="2F91E5D8"/>
    <w:rsid w:val="310520E7"/>
    <w:rsid w:val="31855B6E"/>
    <w:rsid w:val="334BE019"/>
    <w:rsid w:val="3364DD88"/>
    <w:rsid w:val="35409893"/>
    <w:rsid w:val="3559232A"/>
    <w:rsid w:val="36BF0835"/>
    <w:rsid w:val="373E3579"/>
    <w:rsid w:val="37F6CE30"/>
    <w:rsid w:val="39F6986A"/>
    <w:rsid w:val="3C326AC9"/>
    <w:rsid w:val="3C931E43"/>
    <w:rsid w:val="3E32D154"/>
    <w:rsid w:val="3F167F6B"/>
    <w:rsid w:val="3F1D1A44"/>
    <w:rsid w:val="3F329886"/>
    <w:rsid w:val="40404307"/>
    <w:rsid w:val="404CB191"/>
    <w:rsid w:val="40BF6448"/>
    <w:rsid w:val="4104FDB7"/>
    <w:rsid w:val="4254DBB5"/>
    <w:rsid w:val="4313DA80"/>
    <w:rsid w:val="4587F4F3"/>
    <w:rsid w:val="46FEAEFC"/>
    <w:rsid w:val="47C14CC6"/>
    <w:rsid w:val="49364380"/>
    <w:rsid w:val="4AD7D19C"/>
    <w:rsid w:val="4BA98E18"/>
    <w:rsid w:val="4FCA10A5"/>
    <w:rsid w:val="523DC533"/>
    <w:rsid w:val="548A2613"/>
    <w:rsid w:val="54E18E8A"/>
    <w:rsid w:val="5569F3D8"/>
    <w:rsid w:val="562A0971"/>
    <w:rsid w:val="5792508B"/>
    <w:rsid w:val="57D2483A"/>
    <w:rsid w:val="58122104"/>
    <w:rsid w:val="59260878"/>
    <w:rsid w:val="595FA107"/>
    <w:rsid w:val="59AE2906"/>
    <w:rsid w:val="5BE0DEBD"/>
    <w:rsid w:val="5C089510"/>
    <w:rsid w:val="5CA435F4"/>
    <w:rsid w:val="5D34B1B4"/>
    <w:rsid w:val="5E819A29"/>
    <w:rsid w:val="5FA81C1A"/>
    <w:rsid w:val="5FB7C35A"/>
    <w:rsid w:val="60716E1A"/>
    <w:rsid w:val="614B68AA"/>
    <w:rsid w:val="6326432A"/>
    <w:rsid w:val="6398B9A2"/>
    <w:rsid w:val="63EAF3A0"/>
    <w:rsid w:val="6457AB36"/>
    <w:rsid w:val="648CC7A1"/>
    <w:rsid w:val="68CC5D3E"/>
    <w:rsid w:val="69E909AD"/>
    <w:rsid w:val="69EDD38D"/>
    <w:rsid w:val="6A52B8BB"/>
    <w:rsid w:val="6B056100"/>
    <w:rsid w:val="6DA05A0F"/>
    <w:rsid w:val="6DFE8D7C"/>
    <w:rsid w:val="6E98A5DD"/>
    <w:rsid w:val="6F02D981"/>
    <w:rsid w:val="6FD5D4AA"/>
    <w:rsid w:val="7171A50B"/>
    <w:rsid w:val="7187F5C5"/>
    <w:rsid w:val="7226E315"/>
    <w:rsid w:val="72A65BAA"/>
    <w:rsid w:val="73C837C0"/>
    <w:rsid w:val="7445C9AC"/>
    <w:rsid w:val="760CA4E1"/>
    <w:rsid w:val="76AD2E15"/>
    <w:rsid w:val="77841D01"/>
    <w:rsid w:val="793BBEA9"/>
    <w:rsid w:val="7962ABB4"/>
    <w:rsid w:val="7C8EC0CB"/>
    <w:rsid w:val="7DE2B616"/>
    <w:rsid w:val="7E2A91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FB3924"/>
  <w15:chartTrackingRefBased/>
  <w15:docId w15:val="{01BC24B4-8BDD-4D62-BCAD-64368796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4A82"/>
    <w:pPr>
      <w:spacing w:after="0" w:line="240" w:lineRule="auto"/>
    </w:pPr>
    <w:rPr>
      <w:rFonts w:ascii="Calibri" w:hAnsi="Calibri" w:cs="Calibri"/>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6180"/>
    <w:rPr>
      <w:color w:val="0000FF"/>
      <w:u w:val="single"/>
    </w:rPr>
  </w:style>
  <w:style w:type="character" w:customStyle="1" w:styleId="UnresolvedMention">
    <w:name w:val="Unresolved Mention"/>
    <w:basedOn w:val="Absatz-Standardschriftart"/>
    <w:uiPriority w:val="99"/>
    <w:semiHidden/>
    <w:unhideWhenUsed/>
    <w:rsid w:val="00CC453D"/>
    <w:rPr>
      <w:color w:val="605E5C"/>
      <w:shd w:val="clear" w:color="auto" w:fill="E1DFDD"/>
    </w:rPr>
  </w:style>
  <w:style w:type="paragraph" w:styleId="berarbeitung">
    <w:name w:val="Revision"/>
    <w:hidden/>
    <w:uiPriority w:val="99"/>
    <w:semiHidden/>
    <w:rsid w:val="00A4305C"/>
    <w:pPr>
      <w:spacing w:after="0" w:line="240" w:lineRule="auto"/>
    </w:pPr>
    <w:rPr>
      <w:rFonts w:ascii="Calibri" w:hAnsi="Calibri" w:cs="Calibri"/>
      <w:lang w:eastAsia="it-IT"/>
    </w:rPr>
  </w:style>
  <w:style w:type="character" w:customStyle="1" w:styleId="eop">
    <w:name w:val="eop"/>
    <w:basedOn w:val="Absatz-Standardschriftart"/>
    <w:rsid w:val="005506B9"/>
  </w:style>
  <w:style w:type="paragraph" w:styleId="Kopfzeile">
    <w:name w:val="header"/>
    <w:basedOn w:val="Standard"/>
    <w:link w:val="KopfzeileZchn"/>
    <w:uiPriority w:val="99"/>
    <w:unhideWhenUsed/>
    <w:rsid w:val="0024415B"/>
    <w:pPr>
      <w:tabs>
        <w:tab w:val="center" w:pos="4819"/>
        <w:tab w:val="right" w:pos="9638"/>
      </w:tabs>
    </w:pPr>
  </w:style>
  <w:style w:type="character" w:customStyle="1" w:styleId="KopfzeileZchn">
    <w:name w:val="Kopfzeile Zchn"/>
    <w:basedOn w:val="Absatz-Standardschriftart"/>
    <w:link w:val="Kopfzeile"/>
    <w:uiPriority w:val="99"/>
    <w:rsid w:val="0024415B"/>
    <w:rPr>
      <w:rFonts w:ascii="Calibri" w:hAnsi="Calibri" w:cs="Calibri"/>
      <w:lang w:eastAsia="it-IT"/>
    </w:rPr>
  </w:style>
  <w:style w:type="paragraph" w:styleId="Fuzeile">
    <w:name w:val="footer"/>
    <w:basedOn w:val="Standard"/>
    <w:link w:val="FuzeileZchn"/>
    <w:uiPriority w:val="99"/>
    <w:unhideWhenUsed/>
    <w:rsid w:val="0024415B"/>
    <w:pPr>
      <w:tabs>
        <w:tab w:val="center" w:pos="4819"/>
        <w:tab w:val="right" w:pos="9638"/>
      </w:tabs>
    </w:pPr>
  </w:style>
  <w:style w:type="character" w:customStyle="1" w:styleId="FuzeileZchn">
    <w:name w:val="Fußzeile Zchn"/>
    <w:basedOn w:val="Absatz-Standardschriftart"/>
    <w:link w:val="Fuzeile"/>
    <w:uiPriority w:val="99"/>
    <w:rsid w:val="0024415B"/>
    <w:rPr>
      <w:rFonts w:ascii="Calibri" w:hAnsi="Calibri" w:cs="Calibri"/>
      <w:lang w:eastAsia="it-IT"/>
    </w:rPr>
  </w:style>
  <w:style w:type="table" w:styleId="Tabellenraster">
    <w:name w:val="Table Grid"/>
    <w:basedOn w:val="NormaleTabelle"/>
    <w:uiPriority w:val="39"/>
    <w:rsid w:val="001D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70020"/>
    <w:pPr>
      <w:ind w:left="720"/>
      <w:contextualSpacing/>
    </w:pPr>
  </w:style>
  <w:style w:type="paragraph" w:customStyle="1" w:styleId="Default">
    <w:name w:val="Default"/>
    <w:rsid w:val="00AB448A"/>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0728">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1290628400">
      <w:bodyDiv w:val="1"/>
      <w:marLeft w:val="0"/>
      <w:marRight w:val="0"/>
      <w:marTop w:val="0"/>
      <w:marBottom w:val="0"/>
      <w:divBdr>
        <w:top w:val="none" w:sz="0" w:space="0" w:color="auto"/>
        <w:left w:val="none" w:sz="0" w:space="0" w:color="auto"/>
        <w:bottom w:val="none" w:sz="0" w:space="0" w:color="auto"/>
        <w:right w:val="none" w:sz="0" w:space="0" w:color="auto"/>
      </w:divBdr>
    </w:div>
    <w:div w:id="1620139692">
      <w:bodyDiv w:val="1"/>
      <w:marLeft w:val="0"/>
      <w:marRight w:val="0"/>
      <w:marTop w:val="0"/>
      <w:marBottom w:val="0"/>
      <w:divBdr>
        <w:top w:val="none" w:sz="0" w:space="0" w:color="auto"/>
        <w:left w:val="none" w:sz="0" w:space="0" w:color="auto"/>
        <w:bottom w:val="none" w:sz="0" w:space="0" w:color="auto"/>
        <w:right w:val="none" w:sz="0" w:space="0" w:color="auto"/>
      </w:divBdr>
      <w:divsChild>
        <w:div w:id="1703288679">
          <w:marLeft w:val="0"/>
          <w:marRight w:val="0"/>
          <w:marTop w:val="0"/>
          <w:marBottom w:val="0"/>
          <w:divBdr>
            <w:top w:val="none" w:sz="0" w:space="0" w:color="auto"/>
            <w:left w:val="none" w:sz="0" w:space="0" w:color="auto"/>
            <w:bottom w:val="none" w:sz="0" w:space="0" w:color="auto"/>
            <w:right w:val="none" w:sz="0" w:space="0" w:color="auto"/>
          </w:divBdr>
        </w:div>
        <w:div w:id="1376125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det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det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ete@unibl.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dete.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8825A148D05447A068AD0BBEE3E964" ma:contentTypeVersion="8" ma:contentTypeDescription="Creare un nuovo documento." ma:contentTypeScope="" ma:versionID="3e4cf11a5c9c49e64bc59aed583d3c1a">
  <xsd:schema xmlns:xsd="http://www.w3.org/2001/XMLSchema" xmlns:xs="http://www.w3.org/2001/XMLSchema" xmlns:p="http://schemas.microsoft.com/office/2006/metadata/properties" xmlns:ns2="35ab6e06-0231-486c-9bcf-529777f93be3" targetNamespace="http://schemas.microsoft.com/office/2006/metadata/properties" ma:root="true" ma:fieldsID="f91e5822ffaeb553552f9537f2bc73e4" ns2:_="">
    <xsd:import namespace="35ab6e06-0231-486c-9bcf-529777f93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b6e06-0231-486c-9bcf-529777f93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EF37-B21B-46A1-B1D1-CF4A85B76C91}">
  <ds:schemaRefs>
    <ds:schemaRef ds:uri="http://schemas.microsoft.com/sharepoint/v3/contenttype/forms"/>
  </ds:schemaRefs>
</ds:datastoreItem>
</file>

<file path=customXml/itemProps2.xml><?xml version="1.0" encoding="utf-8"?>
<ds:datastoreItem xmlns:ds="http://schemas.openxmlformats.org/officeDocument/2006/customXml" ds:itemID="{DF2E37B9-DA7F-491A-BA0F-F9C4E906E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b6e06-0231-486c-9bcf-529777f93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9513D-3721-4E8C-8842-1FCB6BBEAB47}">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35ab6e06-0231-486c-9bcf-529777f93be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2B0921E-077F-4647-B1C1-6637D2432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4247</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 Iacobucci</dc:creator>
  <cp:keywords/>
  <dc:description/>
  <cp:lastModifiedBy>lippitsch</cp:lastModifiedBy>
  <cp:revision>2</cp:revision>
  <cp:lastPrinted>2022-05-14T09:08:00Z</cp:lastPrinted>
  <dcterms:created xsi:type="dcterms:W3CDTF">2022-05-23T09:49:00Z</dcterms:created>
  <dcterms:modified xsi:type="dcterms:W3CDTF">2022-05-23T09:49:00Z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0x010100F28825A148D05447A068AD0BBEE3E964</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http://www.zotero.org/styles/economia-politica</vt:lpwstr>
  </property>
  <property fmtid="{D5CDD505-2E9C-101B-9397-08002B2CF9AE}" pid="6" name="Mendeley Recent Style Name 1_1">
    <vt:lpwstr>Economia Politica</vt:lpwstr>
  </property>
  <property fmtid="{D5CDD505-2E9C-101B-9397-08002B2CF9AE}" pid="7" name="Mendeley Recent Style Id 2_1">
    <vt:lpwstr>http://www.zotero.org/styles/entrepreneurship-and-regional-development</vt:lpwstr>
  </property>
  <property fmtid="{D5CDD505-2E9C-101B-9397-08002B2CF9AE}" pid="8" name="Mendeley Recent Style Name 2_1">
    <vt:lpwstr>Entrepreneurship &amp; Regional Development</vt:lpwstr>
  </property>
  <property fmtid="{D5CDD505-2E9C-101B-9397-08002B2CF9AE}" pid="9" name="Mendeley Recent Style Id 3_1">
    <vt:lpwstr>http://www.zotero.org/styles/ieee</vt:lpwstr>
  </property>
  <property fmtid="{D5CDD505-2E9C-101B-9397-08002B2CF9AE}" pid="10" name="Mendeley Recent Style Name 3_1">
    <vt:lpwstr>IEEE</vt:lpwstr>
  </property>
  <property fmtid="{D5CDD505-2E9C-101B-9397-08002B2CF9AE}" pid="11" name="Mendeley Recent Style Id 4_1">
    <vt:lpwstr>http://www.zotero.org/styles/modern-humanities-research-association</vt:lpwstr>
  </property>
  <property fmtid="{D5CDD505-2E9C-101B-9397-08002B2CF9AE}" pid="12" name="Mendeley Recent Style Name 4_1">
    <vt:lpwstr>Modern Humanities Research Association 3rd edition (note with bibliography)</vt:lpwstr>
  </property>
  <property fmtid="{D5CDD505-2E9C-101B-9397-08002B2CF9AE}" pid="13" name="Mendeley Recent Style Id 5_1">
    <vt:lpwstr>http://www.zotero.org/styles/modern-language-association</vt:lpwstr>
  </property>
  <property fmtid="{D5CDD505-2E9C-101B-9397-08002B2CF9AE}" pid="14" name="Mendeley Recent Style Name 5_1">
    <vt:lpwstr>Modern Language Association 8th edition</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http://www.zotero.org/styles/research-policy</vt:lpwstr>
  </property>
  <property fmtid="{D5CDD505-2E9C-101B-9397-08002B2CF9AE}" pid="18" name="Mendeley Recent Style Name 7_1">
    <vt:lpwstr>Research Policy</vt:lpwstr>
  </property>
  <property fmtid="{D5CDD505-2E9C-101B-9397-08002B2CF9AE}" pid="19" name="Mendeley Recent Style Id 8_1">
    <vt:lpwstr>http://www.zotero.org/styles/review-of-industrial-organization</vt:lpwstr>
  </property>
  <property fmtid="{D5CDD505-2E9C-101B-9397-08002B2CF9AE}" pid="20" name="Mendeley Recent Style Name 8_1">
    <vt:lpwstr>Review of Industrial Organization</vt:lpwstr>
  </property>
  <property fmtid="{D5CDD505-2E9C-101B-9397-08002B2CF9AE}" pid="21" name="Mendeley Recent Style Id 9_1">
    <vt:lpwstr>http://www.zotero.org/styles/socio-economic-review</vt:lpwstr>
  </property>
  <property fmtid="{D5CDD505-2E9C-101B-9397-08002B2CF9AE}" pid="22" name="Mendeley Recent Style Name 9_1">
    <vt:lpwstr>Socio-Economic Review</vt:lpwstr>
  </property>
</Properties>
</file>